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64C4CD2F"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80bis</w:t>
      </w:r>
      <w:r w:rsidRPr="00DB3907">
        <w:rPr>
          <w:rFonts w:cs="Courier New"/>
          <w:sz w:val="24"/>
          <w:szCs w:val="24"/>
          <w:lang w:val="de-DE"/>
        </w:rPr>
        <w:tab/>
      </w:r>
      <w:r w:rsidRPr="00A90FF2">
        <w:rPr>
          <w:rFonts w:cs="Courier New"/>
          <w:sz w:val="24"/>
          <w:szCs w:val="24"/>
          <w:lang w:val="de-DE"/>
        </w:rPr>
        <w:t>R4-167751</w:t>
      </w:r>
    </w:p>
    <w:p w14:paraId="1D975CAD" w14:textId="77777777" w:rsidR="00A90FF2" w:rsidRPr="00DB3907" w:rsidRDefault="00A90FF2" w:rsidP="00A90FF2">
      <w:pPr>
        <w:pStyle w:val="Header"/>
        <w:tabs>
          <w:tab w:val="left" w:pos="6521"/>
        </w:tabs>
        <w:rPr>
          <w:rFonts w:cs="Arial"/>
          <w:sz w:val="24"/>
          <w:szCs w:val="24"/>
        </w:rPr>
      </w:pPr>
      <w:r>
        <w:rPr>
          <w:rFonts w:cs="Arial"/>
          <w:sz w:val="24"/>
          <w:szCs w:val="24"/>
        </w:rPr>
        <w:t>October 10</w:t>
      </w:r>
      <w:r>
        <w:rPr>
          <w:rFonts w:cs="Arial"/>
          <w:sz w:val="24"/>
          <w:szCs w:val="24"/>
          <w:vertAlign w:val="superscript"/>
        </w:rPr>
        <w:t>th</w:t>
      </w:r>
      <w:r>
        <w:rPr>
          <w:rFonts w:cs="Arial"/>
          <w:sz w:val="24"/>
          <w:szCs w:val="24"/>
        </w:rPr>
        <w:t xml:space="preserve"> ‒ 14</w:t>
      </w:r>
      <w:r w:rsidRPr="00BB0848">
        <w:rPr>
          <w:rFonts w:cs="Arial"/>
          <w:sz w:val="24"/>
          <w:szCs w:val="24"/>
          <w:vertAlign w:val="superscript"/>
        </w:rPr>
        <w:t>th</w:t>
      </w:r>
      <w:r>
        <w:rPr>
          <w:rFonts w:cs="Arial"/>
          <w:sz w:val="24"/>
          <w:szCs w:val="24"/>
        </w:rPr>
        <w:t>, 2016</w:t>
      </w:r>
    </w:p>
    <w:p w14:paraId="52CB10BE" w14:textId="77777777" w:rsidR="00A90FF2" w:rsidRPr="00DB3907" w:rsidRDefault="00A90FF2" w:rsidP="00A90FF2">
      <w:pPr>
        <w:pStyle w:val="Header"/>
        <w:rPr>
          <w:rFonts w:cs="Arial"/>
          <w:sz w:val="24"/>
          <w:szCs w:val="24"/>
        </w:rPr>
      </w:pPr>
      <w:r>
        <w:rPr>
          <w:rFonts w:cs="Arial"/>
          <w:sz w:val="24"/>
          <w:szCs w:val="24"/>
        </w:rPr>
        <w:t>Ljubljana, SI</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34FC605E"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60466">
        <w:rPr>
          <w:rFonts w:ascii="Arial" w:hAnsi="Arial"/>
          <w:sz w:val="24"/>
          <w:lang w:val="en-US"/>
        </w:rPr>
        <w:t>10.3.1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11D4B7A0"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90FF2" w:rsidRPr="00A90FF2">
        <w:rPr>
          <w:rFonts w:ascii="Arial" w:hAnsi="Arial"/>
          <w:sz w:val="24"/>
          <w:lang w:val="en-US"/>
        </w:rPr>
        <w:t>On the Uplink power control for NR coexistence study</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r>
        <w:rPr>
          <w:lang w:val="en-US"/>
        </w:rPr>
        <w:t>Introduction</w:t>
      </w:r>
    </w:p>
    <w:p w14:paraId="67B664AC" w14:textId="2AF9A771" w:rsidR="00644DBE" w:rsidRDefault="00A90FF2" w:rsidP="0020451B">
      <w:pPr>
        <w:jc w:val="both"/>
      </w:pPr>
      <w:r>
        <w:t>RAN4 is currently working on the adjacent channel coexistence study to determine the main RF parameters for NR in millimiter wave (mmW) scenarios</w:t>
      </w:r>
      <w:r w:rsidR="00644DBE">
        <w:t>.</w:t>
      </w:r>
      <w:r>
        <w:t xml:space="preserve"> In previous RAN4 meeting (RAN4 #80), very good progress was made about the simulation assumptions to be adopted in the coexistence study </w:t>
      </w:r>
      <w:r>
        <w:fldChar w:fldCharType="begin"/>
      </w:r>
      <w:r>
        <w:instrText xml:space="preserve"> REF _Ref462992094 \r \h </w:instrText>
      </w:r>
      <w:r>
        <w:fldChar w:fldCharType="separate"/>
      </w:r>
      <w:r>
        <w:t>[1]</w:t>
      </w:r>
      <w:r>
        <w:fldChar w:fldCharType="end"/>
      </w:r>
      <w:r>
        <w:t xml:space="preserve">. There are still some key points to be clarified, one of these being the UL power control settings. In </w:t>
      </w:r>
      <w:r>
        <w:fldChar w:fldCharType="begin"/>
      </w:r>
      <w:r>
        <w:instrText xml:space="preserve"> REF _Ref462992269 \r \h </w:instrText>
      </w:r>
      <w:r>
        <w:fldChar w:fldCharType="separate"/>
      </w:r>
      <w:r>
        <w:t>[2]</w:t>
      </w:r>
      <w:r>
        <w:fldChar w:fldCharType="end"/>
      </w:r>
      <w:r>
        <w:t xml:space="preserve">, a way forward </w:t>
      </w:r>
      <w:r w:rsidRPr="00A90FF2">
        <w:t>WF on UL TPC model and Throughput model for coexistence study for WP 5D</w:t>
      </w:r>
      <w:r>
        <w:t>. In this contribution</w:t>
      </w:r>
      <w:r w:rsidR="00B95B8F">
        <w:t>,</w:t>
      </w:r>
      <w:r>
        <w:t xml:space="preserve"> we provide a list of observation</w:t>
      </w:r>
      <w:r w:rsidR="00B95B8F">
        <w:t>s</w:t>
      </w:r>
      <w:r>
        <w:t xml:space="preserve"> about the overall UL simulation settings, including our view on the UL power control setting.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41F8401F" w14:textId="2FA515A5" w:rsidR="00A90FF2" w:rsidRDefault="00A90FF2" w:rsidP="00AC033F">
      <w:pPr>
        <w:jc w:val="both"/>
        <w:rPr>
          <w:lang w:eastAsia="ja-JP"/>
        </w:rPr>
      </w:pPr>
      <w:r>
        <w:rPr>
          <w:lang w:eastAsia="ja-JP"/>
        </w:rPr>
        <w:t>UL power control is a key functionality of cellular systems</w:t>
      </w:r>
      <w:r w:rsidR="003D395F">
        <w:rPr>
          <w:lang w:eastAsia="ja-JP"/>
        </w:rPr>
        <w:t>.</w:t>
      </w:r>
      <w:r>
        <w:rPr>
          <w:lang w:eastAsia="ja-JP"/>
        </w:rPr>
        <w:t xml:space="preserve"> The right power control settings allows a balance between the useful signal received at the base station and the total amount of co-channel and adjacent channel interference created in the network. In particular, a very useful figure of metric which gives an estimation on how “aggressive” is the power control is the noise </w:t>
      </w:r>
      <w:r w:rsidR="00B95B8F">
        <w:rPr>
          <w:lang w:eastAsia="ja-JP"/>
        </w:rPr>
        <w:t>rise</w:t>
      </w:r>
      <w:r>
        <w:rPr>
          <w:lang w:eastAsia="ja-JP"/>
        </w:rPr>
        <w:t xml:space="preserve"> over thermal (ROT) or the ratio between co-channel interference and thermal noise (IOT). Large IOT means that many UEs are allowed to transmit at high power, while low IOT corresponds to a more “power controlled” situation. The choice of the IOT working point is a very challenging task, since depends on the specific cell layout and operating frequency. In particular, power control setting needs to be specified in such a way the best trade-off between mean and cell edge throughput is achieved.</w:t>
      </w:r>
    </w:p>
    <w:p w14:paraId="749F74AC" w14:textId="3FD8A4EC" w:rsidR="00A90FF2" w:rsidRDefault="00A90FF2" w:rsidP="00AC033F">
      <w:pPr>
        <w:jc w:val="both"/>
        <w:rPr>
          <w:lang w:eastAsia="ja-JP"/>
        </w:rPr>
      </w:pPr>
      <w:r>
        <w:rPr>
          <w:lang w:eastAsia="ja-JP"/>
        </w:rPr>
        <w:t xml:space="preserve">In a real network, there are several aspects which can help </w:t>
      </w:r>
      <w:r w:rsidR="00D00987">
        <w:rPr>
          <w:lang w:eastAsia="ja-JP"/>
        </w:rPr>
        <w:t>BS</w:t>
      </w:r>
      <w:r>
        <w:rPr>
          <w:lang w:eastAsia="ja-JP"/>
        </w:rPr>
        <w:t xml:space="preserve"> to set the right operating point. In RAN4 simulation assumption, the goal is to reflect a meaningful operating scenario which can be used to determine the right RF requirements. The classical methodology defined in TR 36.942</w:t>
      </w:r>
      <w:r w:rsidR="00FE690E">
        <w:rPr>
          <w:lang w:eastAsia="ja-JP"/>
        </w:rPr>
        <w:t xml:space="preserve"> </w:t>
      </w:r>
      <w:r w:rsidR="00FE690E">
        <w:rPr>
          <w:lang w:eastAsia="ja-JP"/>
        </w:rPr>
        <w:fldChar w:fldCharType="begin"/>
      </w:r>
      <w:r w:rsidR="00FE690E">
        <w:rPr>
          <w:lang w:eastAsia="ja-JP"/>
        </w:rPr>
        <w:instrText xml:space="preserve"> REF _Ref462993652 \r \h </w:instrText>
      </w:r>
      <w:r w:rsidR="00FE690E">
        <w:rPr>
          <w:lang w:eastAsia="ja-JP"/>
        </w:rPr>
      </w:r>
      <w:r w:rsidR="00FE690E">
        <w:rPr>
          <w:lang w:eastAsia="ja-JP"/>
        </w:rPr>
        <w:fldChar w:fldCharType="separate"/>
      </w:r>
      <w:r w:rsidR="00FE690E">
        <w:rPr>
          <w:lang w:eastAsia="ja-JP"/>
        </w:rPr>
        <w:t>[3]</w:t>
      </w:r>
      <w:r w:rsidR="00FE690E">
        <w:rPr>
          <w:lang w:eastAsia="ja-JP"/>
        </w:rPr>
        <w:fldChar w:fldCharType="end"/>
      </w:r>
      <w:r>
        <w:rPr>
          <w:lang w:eastAsia="ja-JP"/>
        </w:rPr>
        <w:t xml:space="preserve">, is based on the following formula: </w:t>
      </w:r>
    </w:p>
    <w:p w14:paraId="7DBF70BA" w14:textId="2ECBA1CB" w:rsidR="00FE690E" w:rsidRDefault="00623A87" w:rsidP="00AC033F">
      <w:pPr>
        <w:jc w:val="both"/>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max</m:t>
              </m:r>
            </m:sub>
          </m:sSub>
          <m:r>
            <w:rPr>
              <w:rFonts w:ascii="Cambria Math" w:hAnsi="Cambria Math"/>
              <w:lang w:eastAsia="ja-JP"/>
            </w:rPr>
            <m:t>×</m:t>
          </m:r>
          <m:r>
            <m:rPr>
              <m:nor/>
            </m:rPr>
            <w:rPr>
              <w:rFonts w:ascii="Cambria Math" w:hAnsi="Cambria Math"/>
              <w:lang w:eastAsia="ja-JP"/>
            </w:rPr>
            <m:t>min</m:t>
          </m:r>
          <m:d>
            <m:dPr>
              <m:begChr m:val="{"/>
              <m:endChr m:val="}"/>
              <m:ctrlPr>
                <w:rPr>
                  <w:rFonts w:ascii="Cambria Math" w:hAnsi="Cambria Math"/>
                  <w:i/>
                  <w:lang w:eastAsia="ja-JP"/>
                </w:rPr>
              </m:ctrlPr>
            </m:dPr>
            <m:e>
              <m:r>
                <w:rPr>
                  <w:rFonts w:ascii="Cambria Math" w:hAnsi="Cambria Math"/>
                  <w:lang w:eastAsia="ja-JP"/>
                </w:rPr>
                <m:t>1,</m:t>
              </m:r>
              <m:r>
                <m:rPr>
                  <m:nor/>
                </m:rPr>
                <w:rPr>
                  <w:rFonts w:ascii="Cambria Math" w:hAnsi="Cambria Math"/>
                  <w:lang w:eastAsia="ja-JP"/>
                </w:rPr>
                <m:t>max</m:t>
              </m:r>
              <m:d>
                <m:dPr>
                  <m:begChr m:val="["/>
                  <m:endChr m:val="]"/>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R</m:t>
                      </m:r>
                    </m:e>
                    <m:sub>
                      <m:r>
                        <m:rPr>
                          <m:nor/>
                        </m:rPr>
                        <w:rPr>
                          <w:rFonts w:ascii="Cambria Math" w:hAnsi="Cambria Math"/>
                          <w:lang w:eastAsia="ja-JP"/>
                        </w:rPr>
                        <m:t>min</m:t>
                      </m:r>
                    </m:sub>
                  </m:sSub>
                  <m:r>
                    <w:rPr>
                      <w:rFonts w:ascii="Cambria Math" w:hAnsi="Cambria Math"/>
                      <w:lang w:eastAsia="ja-JP"/>
                    </w:rPr>
                    <m:t>,</m:t>
                  </m:r>
                  <m:sSup>
                    <m:sSupPr>
                      <m:ctrlPr>
                        <w:rPr>
                          <w:rFonts w:ascii="Cambria Math" w:hAnsi="Cambria Math"/>
                          <w:i/>
                          <w:lang w:eastAsia="ja-JP"/>
                        </w:rPr>
                      </m:ctrlPr>
                    </m:sSupPr>
                    <m:e>
                      <m:d>
                        <m:dPr>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CL</m:t>
                              </m:r>
                            </m:num>
                            <m:den>
                              <m:sSub>
                                <m:sSubPr>
                                  <m:ctrlPr>
                                    <w:rPr>
                                      <w:rFonts w:ascii="Cambria Math" w:hAnsi="Cambria Math"/>
                                      <w:i/>
                                      <w:lang w:eastAsia="ja-JP"/>
                                    </w:rPr>
                                  </m:ctrlPr>
                                </m:sSubPr>
                                <m:e>
                                  <m:r>
                                    <w:rPr>
                                      <w:rFonts w:ascii="Cambria Math" w:hAnsi="Cambria Math"/>
                                      <w:lang w:eastAsia="ja-JP"/>
                                    </w:rPr>
                                    <m:t>CL</m:t>
                                  </m:r>
                                </m:e>
                                <m:sub>
                                  <m:r>
                                    <w:rPr>
                                      <w:rFonts w:ascii="Cambria Math" w:hAnsi="Cambria Math"/>
                                      <w:lang w:eastAsia="ja-JP"/>
                                    </w:rPr>
                                    <m:t>x-ile</m:t>
                                  </m:r>
                                </m:sub>
                              </m:sSub>
                            </m:den>
                          </m:f>
                        </m:e>
                      </m:d>
                    </m:e>
                    <m:sup>
                      <m:r>
                        <w:rPr>
                          <w:rFonts w:ascii="Cambria Math" w:hAnsi="Cambria Math"/>
                          <w:lang w:eastAsia="ja-JP"/>
                        </w:rPr>
                        <m:t>γ</m:t>
                      </m:r>
                    </m:sup>
                  </m:sSup>
                </m:e>
              </m:d>
            </m:e>
          </m:d>
        </m:oMath>
      </m:oMathPara>
    </w:p>
    <w:p w14:paraId="6905A455" w14:textId="29C2162E" w:rsidR="00FE690E" w:rsidRPr="00FE690E" w:rsidRDefault="00FE690E" w:rsidP="00FE690E">
      <w:pPr>
        <w:jc w:val="both"/>
        <w:rPr>
          <w:lang w:eastAsia="ja-JP"/>
        </w:rPr>
      </w:pPr>
      <w:r>
        <w:rPr>
          <w:lang w:eastAsia="ja-JP"/>
        </w:rPr>
        <w:t xml:space="preserve">Where </w:t>
      </w:r>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max</m:t>
            </m:r>
          </m:sub>
        </m:sSub>
      </m:oMath>
      <w:r w:rsidRPr="00EE7F9B">
        <w:rPr>
          <w:rFonts w:hint="eastAsia"/>
          <w:szCs w:val="21"/>
        </w:rPr>
        <w:t xml:space="preserve"> is the</w:t>
      </w:r>
      <w:r>
        <w:rPr>
          <w:szCs w:val="21"/>
        </w:rPr>
        <w:t xml:space="preserve"> UE</w:t>
      </w:r>
      <w:r w:rsidRPr="00EE7F9B">
        <w:rPr>
          <w:rFonts w:hint="eastAsia"/>
          <w:szCs w:val="21"/>
        </w:rPr>
        <w:t xml:space="preserve"> m</w:t>
      </w:r>
      <w:r>
        <w:rPr>
          <w:rFonts w:hint="eastAsia"/>
          <w:szCs w:val="21"/>
        </w:rPr>
        <w:t>aximum transmit power</w:t>
      </w:r>
      <w:r w:rsidRPr="00EE7F9B">
        <w:rPr>
          <w:rFonts w:hint="eastAsia"/>
          <w:szCs w:val="21"/>
        </w:rPr>
        <w:t xml:space="preserve">, and </w:t>
      </w:r>
      <m:oMath>
        <m:sSub>
          <m:sSubPr>
            <m:ctrlPr>
              <w:rPr>
                <w:rFonts w:ascii="Cambria Math" w:hAnsi="Cambria Math"/>
                <w:i/>
                <w:lang w:eastAsia="ja-JP"/>
              </w:rPr>
            </m:ctrlPr>
          </m:sSubPr>
          <m:e>
            <m:r>
              <w:rPr>
                <w:rFonts w:ascii="Cambria Math" w:hAnsi="Cambria Math"/>
                <w:lang w:eastAsia="ja-JP"/>
              </w:rPr>
              <m:t>R</m:t>
            </m:r>
          </m:e>
          <m:sub>
            <m:r>
              <m:rPr>
                <m:nor/>
              </m:rPr>
              <w:rPr>
                <w:rFonts w:ascii="Cambria Math" w:hAnsi="Cambria Math"/>
                <w:lang w:eastAsia="ja-JP"/>
              </w:rPr>
              <m:t>min</m:t>
            </m:r>
          </m:sub>
        </m:sSub>
      </m:oMath>
      <w:r w:rsidRPr="00EE7F9B">
        <w:rPr>
          <w:rFonts w:hint="eastAsia"/>
          <w:szCs w:val="21"/>
        </w:rPr>
        <w:t xml:space="preserve"> </w:t>
      </w:r>
      <w:r w:rsidRPr="00EE7F9B">
        <w:t xml:space="preserve"> is the minimum power reduction ratio to prevent UEs with good channels to tra</w:t>
      </w:r>
      <w:r>
        <w:t>nsmit at very low power level</w:t>
      </w:r>
      <w:r>
        <w:rPr>
          <w:rFonts w:hint="eastAsia"/>
        </w:rPr>
        <w:t xml:space="preserve">, </w:t>
      </w:r>
      <w:r w:rsidRPr="00FE690E">
        <w:rPr>
          <w:i/>
        </w:rPr>
        <w:t xml:space="preserve">CL </w:t>
      </w:r>
      <w:r>
        <w:t xml:space="preserve">is the coupling loss (path loss + UE and BS antenna gains), </w:t>
      </w:r>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oMath>
      <w:r>
        <w:rPr>
          <w:lang w:eastAsia="ja-JP"/>
        </w:rPr>
        <w:t xml:space="preserve"> is </w:t>
      </w:r>
      <w:r w:rsidRPr="007F4011">
        <w:t xml:space="preserve">the </w:t>
      </w:r>
      <w:r w:rsidRPr="007F4011">
        <w:rPr>
          <w:i/>
        </w:rPr>
        <w:t>x</w:t>
      </w:r>
      <w:r w:rsidRPr="007F4011">
        <w:t xml:space="preserve">-percentile </w:t>
      </w:r>
      <w:r w:rsidRPr="00FE690E">
        <w:rPr>
          <w:i/>
        </w:rPr>
        <w:t>CL</w:t>
      </w:r>
      <w:r>
        <w:t xml:space="preserve"> value, and </w:t>
      </w:r>
      <m:oMath>
        <m:r>
          <w:rPr>
            <w:rFonts w:ascii="Cambria Math" w:hAnsi="Cambria Math"/>
          </w:rPr>
          <m:t>γ</m:t>
        </m:r>
      </m:oMath>
      <w:r>
        <w:t xml:space="preserve"> is </w:t>
      </w:r>
      <w:r w:rsidRPr="007F4011">
        <w:t>the balancing factor for UEs with bad channel and UEs with good channel</w:t>
      </w:r>
      <w:r>
        <w:t xml:space="preserve">. In this contribution we will </w:t>
      </w:r>
      <w:r w:rsidR="00B95B8F">
        <w:t>assume</w:t>
      </w:r>
      <m:oMath>
        <m:r>
          <w:rPr>
            <w:rFonts w:ascii="Cambria Math" w:hAnsi="Cambria Math"/>
          </w:rPr>
          <m:t xml:space="preserve"> γ=1</m:t>
        </m:r>
      </m:oMath>
      <w:r w:rsidR="00B95B8F">
        <w:t>,</w:t>
      </w:r>
      <w:r>
        <w:t xml:space="preserve"> </w:t>
      </w:r>
      <m:oMath>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max</m:t>
            </m:r>
          </m:sub>
        </m:sSub>
      </m:oMath>
      <w:r>
        <w:rPr>
          <w:lang w:eastAsia="ja-JP"/>
        </w:rPr>
        <w:t xml:space="preserve">=23dBm and </w:t>
      </w:r>
      <m:oMath>
        <m:sSub>
          <m:sSubPr>
            <m:ctrlPr>
              <w:rPr>
                <w:rFonts w:ascii="Cambria Math" w:hAnsi="Cambria Math"/>
                <w:i/>
                <w:lang w:eastAsia="ja-JP"/>
              </w:rPr>
            </m:ctrlPr>
          </m:sSubPr>
          <m:e>
            <m:r>
              <w:rPr>
                <w:rFonts w:ascii="Cambria Math" w:hAnsi="Cambria Math"/>
                <w:lang w:eastAsia="ja-JP"/>
              </w:rPr>
              <m:t>R</m:t>
            </m:r>
          </m:e>
          <m:sub>
            <m:r>
              <m:rPr>
                <m:nor/>
              </m:rPr>
              <w:rPr>
                <w:rFonts w:ascii="Cambria Math" w:hAnsi="Cambria Math"/>
                <w:lang w:eastAsia="ja-JP"/>
              </w:rPr>
              <m:t>min</m:t>
            </m:r>
          </m:sub>
        </m:sSub>
      </m:oMath>
      <w:r>
        <w:rPr>
          <w:lang w:eastAsia="ja-JP"/>
        </w:rPr>
        <w:t xml:space="preserve">=-30dBm, therefore the main parameter we will study is </w:t>
      </w:r>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oMath>
      <w:r>
        <w:rPr>
          <w:lang w:eastAsia="ja-JP"/>
        </w:rPr>
        <w:t xml:space="preserve">. In </w:t>
      </w:r>
      <w:r>
        <w:rPr>
          <w:lang w:eastAsia="ja-JP"/>
        </w:rPr>
        <w:fldChar w:fldCharType="begin"/>
      </w:r>
      <w:r>
        <w:rPr>
          <w:lang w:eastAsia="ja-JP"/>
        </w:rPr>
        <w:instrText xml:space="preserve"> REF _Ref462992269 \r \h </w:instrText>
      </w:r>
      <w:r>
        <w:rPr>
          <w:lang w:eastAsia="ja-JP"/>
        </w:rPr>
      </w:r>
      <w:r>
        <w:rPr>
          <w:lang w:eastAsia="ja-JP"/>
        </w:rPr>
        <w:fldChar w:fldCharType="separate"/>
      </w:r>
      <w:r>
        <w:rPr>
          <w:lang w:eastAsia="ja-JP"/>
        </w:rPr>
        <w:t>[2]</w:t>
      </w:r>
      <w:r>
        <w:rPr>
          <w:lang w:eastAsia="ja-JP"/>
        </w:rPr>
        <w:fldChar w:fldCharType="end"/>
      </w:r>
      <w:r w:rsidR="00B95B8F">
        <w:rPr>
          <w:lang w:eastAsia="ja-JP"/>
        </w:rPr>
        <w:t>, two approaches were</w:t>
      </w:r>
      <w:r>
        <w:rPr>
          <w:lang w:eastAsia="ja-JP"/>
        </w:rPr>
        <w:t xml:space="preserve"> suggested, one based on fixing a target SNR, the other one based on updating values provided in 36.942 by considering the new carrier frequency and inter-site distance. We believe that a good starting point is to fix the target SNR, however additional consideration are needed. In the following section we will provide some analysis for the Urban Macro scenario case </w:t>
      </w:r>
    </w:p>
    <w:p w14:paraId="5C66A642" w14:textId="599AFD83" w:rsidR="00A13B01" w:rsidRDefault="00FE690E" w:rsidP="00AC033F">
      <w:pPr>
        <w:pStyle w:val="Heading2"/>
        <w:jc w:val="both"/>
        <w:rPr>
          <w:lang w:val="en-US"/>
        </w:rPr>
      </w:pPr>
      <w:r>
        <w:rPr>
          <w:lang w:val="en-US"/>
        </w:rPr>
        <w:t>Power control for Urban Macro scenario at 30GHz</w:t>
      </w:r>
    </w:p>
    <w:p w14:paraId="6590B113" w14:textId="04E40D89" w:rsidR="0015220E" w:rsidRDefault="00FE690E" w:rsidP="00BD2D61">
      <w:pPr>
        <w:jc w:val="both"/>
        <w:rPr>
          <w:lang w:val="en-US"/>
        </w:rPr>
      </w:pPr>
      <w:r>
        <w:rPr>
          <w:lang w:val="en-US"/>
        </w:rPr>
        <w:t xml:space="preserve">In this section we consider Urban Macro scenario and the simulation assumptions agreed in </w:t>
      </w:r>
      <w:r>
        <w:rPr>
          <w:lang w:val="en-US"/>
        </w:rPr>
        <w:fldChar w:fldCharType="begin"/>
      </w:r>
      <w:r>
        <w:rPr>
          <w:lang w:val="en-US"/>
        </w:rPr>
        <w:instrText xml:space="preserve"> REF _Ref462994467 \r \h </w:instrText>
      </w:r>
      <w:r>
        <w:rPr>
          <w:lang w:val="en-US"/>
        </w:rPr>
      </w:r>
      <w:r>
        <w:rPr>
          <w:lang w:val="en-US"/>
        </w:rPr>
        <w:fldChar w:fldCharType="separate"/>
      </w:r>
      <w:r>
        <w:rPr>
          <w:lang w:val="en-US"/>
        </w:rPr>
        <w:t>[1]</w:t>
      </w:r>
      <w:r>
        <w:rPr>
          <w:lang w:val="en-US"/>
        </w:rPr>
        <w:fldChar w:fldCharType="end"/>
      </w:r>
      <w:r w:rsidR="003B29CD">
        <w:rPr>
          <w:lang w:val="en-US"/>
        </w:rPr>
        <w:t>.</w:t>
      </w:r>
      <w:r>
        <w:rPr>
          <w:lang w:val="en-US"/>
        </w:rPr>
        <w:t xml:space="preserve"> In particular, the following parameters which might impact the power control setting are used:</w:t>
      </w:r>
    </w:p>
    <w:p w14:paraId="02F8265A" w14:textId="236657F8" w:rsidR="00FE690E" w:rsidRDefault="00FE690E" w:rsidP="00FE690E">
      <w:pPr>
        <w:pStyle w:val="ListParagraph"/>
        <w:numPr>
          <w:ilvl w:val="0"/>
          <w:numId w:val="44"/>
        </w:numPr>
        <w:jc w:val="both"/>
        <w:rPr>
          <w:lang w:val="en-US"/>
        </w:rPr>
      </w:pPr>
      <w:r>
        <w:rPr>
          <w:lang w:val="en-US"/>
        </w:rPr>
        <w:t>UE max power = 23dBm</w:t>
      </w:r>
    </w:p>
    <w:p w14:paraId="32DEAB82" w14:textId="3E479E03" w:rsidR="00FE690E" w:rsidRDefault="00FE690E" w:rsidP="00FE690E">
      <w:pPr>
        <w:pStyle w:val="ListParagraph"/>
        <w:numPr>
          <w:ilvl w:val="0"/>
          <w:numId w:val="44"/>
        </w:numPr>
        <w:jc w:val="both"/>
        <w:rPr>
          <w:lang w:val="en-US"/>
        </w:rPr>
      </w:pPr>
      <w:r>
        <w:rPr>
          <w:lang w:val="en-US"/>
        </w:rPr>
        <w:t xml:space="preserve">BS noise figure = </w:t>
      </w:r>
      <w:r w:rsidR="00217E8A">
        <w:rPr>
          <w:lang w:val="en-US"/>
        </w:rPr>
        <w:t>9</w:t>
      </w:r>
      <w:r>
        <w:rPr>
          <w:lang w:val="en-US"/>
        </w:rPr>
        <w:t>dB</w:t>
      </w:r>
      <w:r w:rsidR="00217E8A">
        <w:rPr>
          <w:lang w:val="en-US"/>
        </w:rPr>
        <w:t xml:space="preserve"> – N</w:t>
      </w:r>
      <w:r w:rsidR="00B95B8F">
        <w:rPr>
          <w:lang w:val="en-US"/>
        </w:rPr>
        <w:t>OTE: this does not correspond</w:t>
      </w:r>
      <w:r w:rsidR="00217E8A">
        <w:rPr>
          <w:lang w:val="en-US"/>
        </w:rPr>
        <w:t xml:space="preserve"> to the agreed simulation assumptions, however the observations in this paper equally apply to 9dB and 13dB noise figure </w:t>
      </w:r>
    </w:p>
    <w:p w14:paraId="09009F22" w14:textId="21BD4EEC" w:rsidR="00FE690E" w:rsidRDefault="00FE690E" w:rsidP="00FE690E">
      <w:pPr>
        <w:pStyle w:val="ListParagraph"/>
        <w:numPr>
          <w:ilvl w:val="0"/>
          <w:numId w:val="44"/>
        </w:numPr>
        <w:jc w:val="both"/>
        <w:rPr>
          <w:lang w:val="en-US"/>
        </w:rPr>
      </w:pPr>
      <w:r>
        <w:rPr>
          <w:lang w:val="en-US"/>
        </w:rPr>
        <w:t>Channel BW = 200MHz</w:t>
      </w:r>
    </w:p>
    <w:p w14:paraId="41DF10FF" w14:textId="5C85AA9C" w:rsidR="00FE690E" w:rsidRDefault="00FE690E" w:rsidP="00FE690E">
      <w:pPr>
        <w:pStyle w:val="ListParagraph"/>
        <w:numPr>
          <w:ilvl w:val="0"/>
          <w:numId w:val="44"/>
        </w:numPr>
        <w:jc w:val="both"/>
        <w:rPr>
          <w:lang w:val="en-US"/>
        </w:rPr>
      </w:pPr>
      <w:r>
        <w:rPr>
          <w:lang w:val="en-US"/>
        </w:rPr>
        <w:t>Num UE scheduled per serving cell =</w:t>
      </w:r>
      <w:r w:rsidR="00B95B8F">
        <w:rPr>
          <w:lang w:val="en-US"/>
        </w:rPr>
        <w:t xml:space="preserve"> </w:t>
      </w:r>
      <w:r>
        <w:rPr>
          <w:lang w:val="en-US"/>
        </w:rPr>
        <w:t>1</w:t>
      </w:r>
    </w:p>
    <w:p w14:paraId="6E09D6DC" w14:textId="61394AB6" w:rsidR="00FE690E" w:rsidRDefault="00FE690E" w:rsidP="00FE690E">
      <w:pPr>
        <w:pStyle w:val="ListParagraph"/>
        <w:numPr>
          <w:ilvl w:val="0"/>
          <w:numId w:val="44"/>
        </w:numPr>
        <w:jc w:val="both"/>
        <w:rPr>
          <w:lang w:val="en-US"/>
        </w:rPr>
      </w:pPr>
      <w:r>
        <w:rPr>
          <w:lang w:val="en-US"/>
        </w:rPr>
        <w:lastRenderedPageBreak/>
        <w:t>Carrier Frequency = 30GHz</w:t>
      </w:r>
    </w:p>
    <w:p w14:paraId="2000FEBD" w14:textId="098ED932" w:rsidR="00FE690E" w:rsidRDefault="00FE690E" w:rsidP="00FE690E">
      <w:pPr>
        <w:pStyle w:val="ListParagraph"/>
        <w:numPr>
          <w:ilvl w:val="0"/>
          <w:numId w:val="44"/>
        </w:numPr>
        <w:jc w:val="both"/>
        <w:rPr>
          <w:lang w:val="en-US"/>
        </w:rPr>
      </w:pPr>
      <w:r>
        <w:rPr>
          <w:lang w:val="en-US"/>
        </w:rPr>
        <w:t xml:space="preserve">UE antenna: as agreed in </w:t>
      </w:r>
      <w:r>
        <w:rPr>
          <w:lang w:val="en-US"/>
        </w:rPr>
        <w:fldChar w:fldCharType="begin"/>
      </w:r>
      <w:r>
        <w:rPr>
          <w:lang w:val="en-US"/>
        </w:rPr>
        <w:instrText xml:space="preserve"> REF _Ref462994805 \r \h </w:instrText>
      </w:r>
      <w:r>
        <w:rPr>
          <w:lang w:val="en-US"/>
        </w:rPr>
      </w:r>
      <w:r>
        <w:rPr>
          <w:lang w:val="en-US"/>
        </w:rPr>
        <w:fldChar w:fldCharType="separate"/>
      </w:r>
      <w:r>
        <w:rPr>
          <w:lang w:val="en-US"/>
        </w:rPr>
        <w:t>[4]</w:t>
      </w:r>
      <w:r>
        <w:rPr>
          <w:lang w:val="en-US"/>
        </w:rPr>
        <w:fldChar w:fldCharType="end"/>
      </w:r>
    </w:p>
    <w:p w14:paraId="0E854536" w14:textId="2CD18F56" w:rsidR="00FE690E" w:rsidRDefault="00FE690E" w:rsidP="00FE690E">
      <w:pPr>
        <w:pStyle w:val="ListParagraph"/>
        <w:numPr>
          <w:ilvl w:val="0"/>
          <w:numId w:val="44"/>
        </w:numPr>
        <w:jc w:val="both"/>
        <w:rPr>
          <w:lang w:val="en-US"/>
        </w:rPr>
      </w:pPr>
      <w:r>
        <w:rPr>
          <w:lang w:val="en-US"/>
        </w:rPr>
        <w:t xml:space="preserve">BS antenna: as agreed in </w:t>
      </w:r>
      <w:r>
        <w:rPr>
          <w:lang w:val="en-US"/>
        </w:rPr>
        <w:fldChar w:fldCharType="begin"/>
      </w:r>
      <w:r>
        <w:rPr>
          <w:lang w:val="en-US"/>
        </w:rPr>
        <w:instrText xml:space="preserve"> REF _Ref462994820 \r \h </w:instrText>
      </w:r>
      <w:r>
        <w:rPr>
          <w:lang w:val="en-US"/>
        </w:rPr>
      </w:r>
      <w:r>
        <w:rPr>
          <w:lang w:val="en-US"/>
        </w:rPr>
        <w:fldChar w:fldCharType="separate"/>
      </w:r>
      <w:r>
        <w:rPr>
          <w:lang w:val="en-US"/>
        </w:rPr>
        <w:t>[5]</w:t>
      </w:r>
      <w:r>
        <w:rPr>
          <w:lang w:val="en-US"/>
        </w:rPr>
        <w:fldChar w:fldCharType="end"/>
      </w:r>
    </w:p>
    <w:p w14:paraId="5945C45F" w14:textId="0B130165" w:rsidR="00FE690E" w:rsidRDefault="00FE690E" w:rsidP="00FE690E">
      <w:pPr>
        <w:jc w:val="both"/>
        <w:rPr>
          <w:bCs/>
          <w:color w:val="000000"/>
          <w:szCs w:val="22"/>
          <w:lang w:val="en-US"/>
        </w:rPr>
      </w:pPr>
      <w:r>
        <w:rPr>
          <w:lang w:val="en-US"/>
        </w:rPr>
        <w:t xml:space="preserve">If we want to fix a target SNR, we can specify the </w:t>
      </w:r>
      <w:r w:rsidR="007446C4">
        <w:rPr>
          <w:lang w:val="en-US"/>
        </w:rPr>
        <w:t xml:space="preserve">target received power for the </w:t>
      </w:r>
      <w:r>
        <w:rPr>
          <w:lang w:val="en-US"/>
        </w:rPr>
        <w:t xml:space="preserve">PUSCH </w:t>
      </w:r>
      <w:r w:rsidR="007446C4">
        <w:rPr>
          <w:lang w:val="en-US"/>
        </w:rPr>
        <w:t xml:space="preserve">channel, namely </w:t>
      </w:r>
      <w:r w:rsidR="007446C4" w:rsidRPr="00FE690E">
        <w:rPr>
          <w:bCs/>
          <w:i/>
          <w:color w:val="000000"/>
          <w:szCs w:val="22"/>
          <w:lang w:val="en-US"/>
        </w:rPr>
        <w:t>P</w:t>
      </w:r>
      <w:r w:rsidR="007446C4" w:rsidRPr="00FE690E">
        <w:rPr>
          <w:bCs/>
          <w:color w:val="000000"/>
          <w:szCs w:val="22"/>
          <w:vertAlign w:val="subscript"/>
          <w:lang w:val="en-US"/>
        </w:rPr>
        <w:t>O_PUSCH</w:t>
      </w:r>
      <w:r w:rsidR="007446C4">
        <w:rPr>
          <w:bCs/>
          <w:color w:val="000000"/>
          <w:szCs w:val="22"/>
          <w:lang w:val="en-US"/>
        </w:rPr>
        <w:t xml:space="preserve"> as follows:</w:t>
      </w:r>
    </w:p>
    <w:p w14:paraId="5023DE46" w14:textId="47CD79BD" w:rsidR="007446C4" w:rsidRDefault="007446C4" w:rsidP="007446C4">
      <w:pPr>
        <w:jc w:val="center"/>
        <w:rPr>
          <w:bCs/>
          <w:color w:val="000000"/>
          <w:szCs w:val="22"/>
          <w:lang w:val="en-US"/>
        </w:rPr>
      </w:pPr>
      <w:r w:rsidRPr="00FE690E">
        <w:rPr>
          <w:bCs/>
          <w:i/>
          <w:color w:val="000000"/>
          <w:szCs w:val="22"/>
          <w:lang w:val="en-US"/>
        </w:rPr>
        <w:t>P</w:t>
      </w:r>
      <w:r w:rsidRPr="00FE690E">
        <w:rPr>
          <w:bCs/>
          <w:color w:val="000000"/>
          <w:szCs w:val="22"/>
          <w:vertAlign w:val="subscript"/>
          <w:lang w:val="en-US"/>
        </w:rPr>
        <w:t>O_PUSCH</w:t>
      </w:r>
      <w:r>
        <w:rPr>
          <w:bCs/>
          <w:color w:val="000000"/>
          <w:szCs w:val="22"/>
          <w:vertAlign w:val="subscript"/>
          <w:lang w:val="en-US"/>
        </w:rPr>
        <w:t xml:space="preserve"> </w:t>
      </w:r>
      <w:r>
        <w:rPr>
          <w:bCs/>
          <w:color w:val="000000"/>
          <w:szCs w:val="22"/>
          <w:lang w:val="en-US"/>
        </w:rPr>
        <w:t>= Thermal Noise + SNR</w:t>
      </w:r>
    </w:p>
    <w:p w14:paraId="30C41C8E" w14:textId="641A1B28" w:rsidR="007446C4" w:rsidRDefault="007446C4" w:rsidP="001E19D4">
      <w:pPr>
        <w:jc w:val="both"/>
        <w:rPr>
          <w:bCs/>
          <w:color w:val="000000"/>
          <w:szCs w:val="22"/>
          <w:lang w:val="en-US"/>
        </w:rPr>
      </w:pPr>
      <w:r>
        <w:rPr>
          <w:bCs/>
          <w:color w:val="000000"/>
          <w:szCs w:val="22"/>
          <w:lang w:val="en-US"/>
        </w:rPr>
        <w:t xml:space="preserve">Based on the </w:t>
      </w:r>
      <w:r w:rsidRPr="00FE690E">
        <w:rPr>
          <w:bCs/>
          <w:i/>
          <w:color w:val="000000"/>
          <w:szCs w:val="22"/>
          <w:lang w:val="en-US"/>
        </w:rPr>
        <w:t>P</w:t>
      </w:r>
      <w:r w:rsidRPr="00FE690E">
        <w:rPr>
          <w:bCs/>
          <w:color w:val="000000"/>
          <w:szCs w:val="22"/>
          <w:vertAlign w:val="subscript"/>
          <w:lang w:val="en-US"/>
        </w:rPr>
        <w:t>O_PUSCH</w:t>
      </w:r>
      <w:r>
        <w:rPr>
          <w:bCs/>
          <w:color w:val="000000"/>
          <w:szCs w:val="22"/>
          <w:vertAlign w:val="subscript"/>
          <w:lang w:val="en-US"/>
        </w:rPr>
        <w:t xml:space="preserve"> </w:t>
      </w:r>
      <w:r>
        <w:rPr>
          <w:bCs/>
          <w:color w:val="000000"/>
          <w:szCs w:val="22"/>
          <w:lang w:val="en-US"/>
        </w:rPr>
        <w:t xml:space="preserve">value, and considering </w:t>
      </w:r>
      <m:oMath>
        <m:r>
          <w:rPr>
            <w:rFonts w:ascii="Cambria Math" w:hAnsi="Cambria Math"/>
          </w:rPr>
          <m:t>γ=1</m:t>
        </m:r>
      </m:oMath>
      <w:r>
        <w:t xml:space="preserve"> the </w:t>
      </w:r>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oMath>
      <w:r>
        <w:rPr>
          <w:lang w:eastAsia="ja-JP"/>
        </w:rPr>
        <w:t xml:space="preserve"> to target the specified SNR</w:t>
      </w:r>
      <w:r w:rsidRPr="007446C4">
        <w:rPr>
          <w:bCs/>
          <w:color w:val="000000"/>
          <w:szCs w:val="22"/>
          <w:lang w:val="en-US"/>
        </w:rPr>
        <w:t xml:space="preserve"> </w:t>
      </w:r>
      <w:r>
        <w:rPr>
          <w:bCs/>
          <w:color w:val="000000"/>
          <w:szCs w:val="22"/>
          <w:lang w:val="en-US"/>
        </w:rPr>
        <w:t>can be obtained simply as:</w:t>
      </w:r>
    </w:p>
    <w:p w14:paraId="6006132A" w14:textId="63AB36EB" w:rsidR="007446C4" w:rsidRPr="007446C4" w:rsidRDefault="00623A87" w:rsidP="007446C4">
      <w:pPr>
        <w:rPr>
          <w:bCs/>
          <w:color w:val="000000"/>
          <w:szCs w:val="22"/>
          <w:vertAlign w:val="subscript"/>
          <w:lang w:val="en-US"/>
        </w:rPr>
      </w:pPr>
      <m:oMathPara>
        <m:oMath>
          <m:sSub>
            <m:sSubPr>
              <m:ctrlPr>
                <w:rPr>
                  <w:rFonts w:ascii="Cambria Math" w:hAnsi="Cambria Math"/>
                  <w:i/>
                  <w:lang w:eastAsia="ja-JP"/>
                </w:rPr>
              </m:ctrlPr>
            </m:sSubPr>
            <m:e>
              <m:r>
                <w:rPr>
                  <w:rFonts w:ascii="Cambria Math" w:hAnsi="Cambria Math"/>
                  <w:lang w:eastAsia="ja-JP"/>
                </w:rPr>
                <m:t>CL</m:t>
              </m:r>
            </m:e>
            <m:sub>
              <m:r>
                <m:rPr>
                  <m:nor/>
                </m:rPr>
                <w:rPr>
                  <w:rFonts w:ascii="Cambria Math" w:hAnsi="Cambria Math"/>
                  <w:lang w:eastAsia="ja-JP"/>
                </w:rPr>
                <m:t>x-ile</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m:rPr>
                  <m:nor/>
                </m:rPr>
                <w:rPr>
                  <w:rFonts w:ascii="Cambria Math" w:hAnsi="Cambria Math"/>
                  <w:lang w:eastAsia="ja-JP"/>
                </w:rPr>
                <m:t>max</m:t>
              </m:r>
            </m:sub>
          </m:sSub>
          <m:r>
            <w:rPr>
              <w:rFonts w:ascii="Cambria Math" w:hAnsi="Cambria Math"/>
              <w:lang w:eastAsia="ja-JP"/>
            </w:rPr>
            <m:t>-</m:t>
          </m:r>
          <m:sSub>
            <m:sSubPr>
              <m:ctrlPr>
                <w:rPr>
                  <w:rFonts w:ascii="Cambria Math" w:hAnsi="Cambria Math"/>
                  <w:bCs/>
                  <w:i/>
                  <w:color w:val="000000"/>
                  <w:szCs w:val="22"/>
                  <w:lang w:val="en-US"/>
                </w:rPr>
              </m:ctrlPr>
            </m:sSubPr>
            <m:e>
              <m:r>
                <w:rPr>
                  <w:rFonts w:ascii="Cambria Math" w:hAnsi="Cambria Math"/>
                  <w:color w:val="000000"/>
                  <w:szCs w:val="22"/>
                  <w:lang w:val="en-US"/>
                </w:rPr>
                <m:t>P</m:t>
              </m:r>
            </m:e>
            <m:sub>
              <m:r>
                <m:rPr>
                  <m:sty m:val="p"/>
                </m:rPr>
                <w:rPr>
                  <w:rFonts w:ascii="Cambria Math" w:hAnsi="Cambria Math"/>
                  <w:color w:val="000000"/>
                  <w:szCs w:val="22"/>
                  <w:vertAlign w:val="subscript"/>
                  <w:lang w:val="en-US"/>
                </w:rPr>
                <m:t>O_PUSCH</m:t>
              </m:r>
            </m:sub>
          </m:sSub>
          <m:r>
            <m:rPr>
              <m:sty m:val="p"/>
            </m:rPr>
            <w:rPr>
              <w:rFonts w:ascii="Cambria Math" w:hAnsi="Cambria Math"/>
              <w:color w:val="000000"/>
              <w:szCs w:val="22"/>
              <w:vertAlign w:val="subscript"/>
              <w:lang w:val="en-US"/>
            </w:rPr>
            <m:t xml:space="preserve"> </m:t>
          </m:r>
        </m:oMath>
      </m:oMathPara>
    </w:p>
    <w:p w14:paraId="4DA104F2" w14:textId="6B4A592C" w:rsidR="007446C4" w:rsidRPr="007446C4" w:rsidRDefault="007446C4" w:rsidP="001E19D4">
      <w:pPr>
        <w:jc w:val="both"/>
        <w:rPr>
          <w:lang w:val="en-US"/>
        </w:rPr>
      </w:pPr>
      <w:r>
        <w:rPr>
          <w:bCs/>
          <w:color w:val="000000"/>
          <w:szCs w:val="22"/>
          <w:lang w:val="en-US"/>
        </w:rPr>
        <w:fldChar w:fldCharType="begin"/>
      </w:r>
      <w:r>
        <w:rPr>
          <w:lang w:val="en-US"/>
        </w:rPr>
        <w:instrText xml:space="preserve"> REF _Ref462995911 \h </w:instrText>
      </w:r>
      <w:r w:rsidR="001E19D4">
        <w:rPr>
          <w:bCs/>
          <w:color w:val="000000"/>
          <w:szCs w:val="22"/>
          <w:lang w:val="en-US"/>
        </w:rPr>
        <w:instrText xml:space="preserve"> \* MERGEFORMAT </w:instrText>
      </w:r>
      <w:r>
        <w:rPr>
          <w:bCs/>
          <w:color w:val="000000"/>
          <w:szCs w:val="22"/>
          <w:lang w:val="en-US"/>
        </w:rPr>
      </w:r>
      <w:r>
        <w:rPr>
          <w:bCs/>
          <w:color w:val="000000"/>
          <w:szCs w:val="22"/>
          <w:lang w:val="en-US"/>
        </w:rPr>
        <w:fldChar w:fldCharType="separate"/>
      </w:r>
      <w:r>
        <w:t xml:space="preserve">Table </w:t>
      </w:r>
      <w:r>
        <w:rPr>
          <w:noProof/>
        </w:rPr>
        <w:t>1</w:t>
      </w:r>
      <w:r>
        <w:rPr>
          <w:bCs/>
          <w:color w:val="000000"/>
          <w:szCs w:val="22"/>
          <w:lang w:val="en-US"/>
        </w:rPr>
        <w:fldChar w:fldCharType="end"/>
      </w:r>
      <w:r>
        <w:rPr>
          <w:bCs/>
          <w:color w:val="000000"/>
          <w:szCs w:val="22"/>
          <w:lang w:val="en-US"/>
        </w:rPr>
        <w:t xml:space="preserve"> summarizes the resulting </w:t>
      </w:r>
      <w:r w:rsidRPr="007446C4">
        <w:rPr>
          <w:bCs/>
          <w:i/>
          <w:color w:val="000000"/>
          <w:szCs w:val="22"/>
          <w:lang w:val="en-US"/>
        </w:rPr>
        <w:t>CL</w:t>
      </w:r>
      <w:r w:rsidRPr="00FE690E">
        <w:rPr>
          <w:bCs/>
          <w:color w:val="000000"/>
          <w:szCs w:val="22"/>
          <w:vertAlign w:val="subscript"/>
          <w:lang w:val="en-US"/>
        </w:rPr>
        <w:t>xile</w:t>
      </w:r>
      <w:r>
        <w:rPr>
          <w:bCs/>
          <w:color w:val="000000"/>
          <w:szCs w:val="22"/>
          <w:vertAlign w:val="subscript"/>
          <w:lang w:val="en-US"/>
        </w:rPr>
        <w:t xml:space="preserve"> </w:t>
      </w:r>
      <w:r>
        <w:rPr>
          <w:bCs/>
          <w:color w:val="000000"/>
          <w:szCs w:val="22"/>
          <w:lang w:val="en-US"/>
        </w:rPr>
        <w:t xml:space="preserve">considering thermal noise integrated over 180MHz or 200MHz, and BS noise figure equal to 9dB and 13dB. Given the results are in 90dB ballpark, we will use this as baseline assumption.  </w:t>
      </w:r>
    </w:p>
    <w:p w14:paraId="77DC64EF" w14:textId="584441E6" w:rsidR="007446C4" w:rsidRPr="007446C4" w:rsidRDefault="007446C4" w:rsidP="007446C4">
      <w:pPr>
        <w:pStyle w:val="Caption"/>
        <w:keepNext/>
        <w:jc w:val="center"/>
      </w:pPr>
      <w:bookmarkStart w:id="0" w:name="_Ref462995911"/>
      <w:r>
        <w:t xml:space="preserve">Table </w:t>
      </w:r>
      <w:r>
        <w:fldChar w:fldCharType="begin"/>
      </w:r>
      <w:r>
        <w:instrText xml:space="preserve"> SEQ Table \* ARABIC </w:instrText>
      </w:r>
      <w:r>
        <w:fldChar w:fldCharType="separate"/>
      </w:r>
      <w:r w:rsidR="00647987">
        <w:rPr>
          <w:noProof/>
        </w:rPr>
        <w:t>1</w:t>
      </w:r>
      <w:r>
        <w:fldChar w:fldCharType="end"/>
      </w:r>
      <w:bookmarkEnd w:id="0"/>
      <w:r>
        <w:t xml:space="preserve">. </w:t>
      </w:r>
      <w:r w:rsidRPr="007446C4">
        <w:rPr>
          <w:b w:val="0"/>
          <w:bCs/>
          <w:i/>
          <w:color w:val="000000"/>
          <w:szCs w:val="22"/>
          <w:lang w:val="en-US"/>
        </w:rPr>
        <w:t>CL</w:t>
      </w:r>
      <w:r w:rsidRPr="00FE690E">
        <w:rPr>
          <w:bCs/>
          <w:color w:val="000000"/>
          <w:szCs w:val="22"/>
          <w:vertAlign w:val="subscript"/>
          <w:lang w:val="en-US"/>
        </w:rPr>
        <w:t>xile</w:t>
      </w:r>
      <w:r>
        <w:rPr>
          <w:bCs/>
          <w:color w:val="000000"/>
          <w:szCs w:val="22"/>
          <w:vertAlign w:val="subscript"/>
          <w:lang w:val="en-US"/>
        </w:rPr>
        <w:t xml:space="preserve"> </w:t>
      </w:r>
      <w:r>
        <w:rPr>
          <w:bCs/>
          <w:color w:val="000000"/>
          <w:szCs w:val="22"/>
          <w:lang w:val="en-US"/>
        </w:rPr>
        <w:t>for different channel bandwidth and noise figure configuration.</w:t>
      </w:r>
    </w:p>
    <w:tbl>
      <w:tblPr>
        <w:tblW w:w="9909" w:type="dxa"/>
        <w:tblInd w:w="-10" w:type="dxa"/>
        <w:tblLook w:val="04A0" w:firstRow="1" w:lastRow="0" w:firstColumn="1" w:lastColumn="0" w:noHBand="0" w:noVBand="1"/>
      </w:tblPr>
      <w:tblGrid>
        <w:gridCol w:w="990"/>
        <w:gridCol w:w="1170"/>
        <w:gridCol w:w="720"/>
        <w:gridCol w:w="1294"/>
        <w:gridCol w:w="1675"/>
        <w:gridCol w:w="1800"/>
        <w:gridCol w:w="905"/>
        <w:gridCol w:w="1355"/>
      </w:tblGrid>
      <w:tr w:rsidR="00FE690E" w:rsidRPr="00FE690E" w14:paraId="3B60D91C" w14:textId="77777777" w:rsidTr="00FE690E">
        <w:trPr>
          <w:trHeight w:val="300"/>
        </w:trPr>
        <w:tc>
          <w:tcPr>
            <w:tcW w:w="99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AAB2906" w14:textId="044D4F37" w:rsidR="00FE690E" w:rsidRPr="00FE690E" w:rsidRDefault="007446C4" w:rsidP="007446C4">
            <w:pPr>
              <w:spacing w:after="0"/>
              <w:jc w:val="center"/>
              <w:rPr>
                <w:b/>
                <w:bCs/>
                <w:color w:val="000000"/>
                <w:szCs w:val="22"/>
                <w:lang w:val="en-US"/>
              </w:rPr>
            </w:pPr>
            <w:r w:rsidRPr="007446C4">
              <w:rPr>
                <w:b/>
                <w:bCs/>
                <w:i/>
                <w:color w:val="000000"/>
                <w:szCs w:val="22"/>
                <w:lang w:val="en-US"/>
              </w:rPr>
              <w:t>P</w:t>
            </w:r>
            <w:r w:rsidRPr="007446C4">
              <w:rPr>
                <w:b/>
                <w:bCs/>
                <w:color w:val="000000"/>
                <w:szCs w:val="22"/>
                <w:vertAlign w:val="subscript"/>
                <w:lang w:val="en-US"/>
              </w:rPr>
              <w:t>m</w:t>
            </w:r>
            <w:r w:rsidR="00FE690E" w:rsidRPr="00FE690E">
              <w:rPr>
                <w:b/>
                <w:bCs/>
                <w:color w:val="000000"/>
                <w:szCs w:val="22"/>
                <w:vertAlign w:val="subscript"/>
                <w:lang w:val="en-US"/>
              </w:rPr>
              <w:t>ax</w:t>
            </w:r>
            <w:r w:rsidR="00FE690E" w:rsidRPr="00FE690E">
              <w:rPr>
                <w:b/>
                <w:bCs/>
                <w:color w:val="000000"/>
                <w:szCs w:val="22"/>
                <w:lang w:val="en-US"/>
              </w:rPr>
              <w:t xml:space="preserve"> [dBm]</w:t>
            </w:r>
          </w:p>
        </w:tc>
        <w:tc>
          <w:tcPr>
            <w:tcW w:w="1170" w:type="dxa"/>
            <w:tcBorders>
              <w:top w:val="single" w:sz="8" w:space="0" w:color="auto"/>
              <w:left w:val="nil"/>
              <w:bottom w:val="single" w:sz="8" w:space="0" w:color="auto"/>
              <w:right w:val="single" w:sz="4" w:space="0" w:color="auto"/>
            </w:tcBorders>
            <w:shd w:val="clear" w:color="auto" w:fill="auto"/>
            <w:noWrap/>
            <w:vAlign w:val="center"/>
            <w:hideMark/>
          </w:tcPr>
          <w:p w14:paraId="7351AD7C" w14:textId="77777777" w:rsidR="00FE690E" w:rsidRPr="00FE690E" w:rsidRDefault="00FE690E" w:rsidP="00FE690E">
            <w:pPr>
              <w:spacing w:after="0"/>
              <w:jc w:val="center"/>
              <w:rPr>
                <w:b/>
                <w:bCs/>
                <w:color w:val="000000"/>
                <w:szCs w:val="22"/>
                <w:lang w:val="en-US"/>
              </w:rPr>
            </w:pPr>
            <w:r w:rsidRPr="00FE690E">
              <w:rPr>
                <w:b/>
                <w:bCs/>
                <w:color w:val="000000"/>
                <w:szCs w:val="22"/>
                <w:lang w:val="en-US"/>
              </w:rPr>
              <w:t>Channel BW [MHz]</w:t>
            </w:r>
          </w:p>
        </w:tc>
        <w:tc>
          <w:tcPr>
            <w:tcW w:w="720" w:type="dxa"/>
            <w:tcBorders>
              <w:top w:val="single" w:sz="8" w:space="0" w:color="auto"/>
              <w:left w:val="nil"/>
              <w:bottom w:val="single" w:sz="8" w:space="0" w:color="auto"/>
              <w:right w:val="single" w:sz="4" w:space="0" w:color="auto"/>
            </w:tcBorders>
            <w:shd w:val="clear" w:color="auto" w:fill="auto"/>
            <w:noWrap/>
            <w:vAlign w:val="center"/>
            <w:hideMark/>
          </w:tcPr>
          <w:p w14:paraId="1F7953E0" w14:textId="77777777" w:rsidR="00FE690E" w:rsidRPr="00FE690E" w:rsidRDefault="00FE690E" w:rsidP="00FE690E">
            <w:pPr>
              <w:spacing w:after="0"/>
              <w:jc w:val="center"/>
              <w:rPr>
                <w:b/>
                <w:bCs/>
                <w:color w:val="000000"/>
                <w:szCs w:val="22"/>
                <w:lang w:val="en-US"/>
              </w:rPr>
            </w:pPr>
            <w:r w:rsidRPr="00FE690E">
              <w:rPr>
                <w:b/>
                <w:bCs/>
                <w:color w:val="000000"/>
                <w:szCs w:val="22"/>
                <w:lang w:val="en-US"/>
              </w:rPr>
              <w:t>NF [dB]</w:t>
            </w:r>
          </w:p>
        </w:tc>
        <w:tc>
          <w:tcPr>
            <w:tcW w:w="1294" w:type="dxa"/>
            <w:tcBorders>
              <w:top w:val="single" w:sz="8" w:space="0" w:color="auto"/>
              <w:left w:val="nil"/>
              <w:bottom w:val="single" w:sz="8" w:space="0" w:color="auto"/>
              <w:right w:val="single" w:sz="4" w:space="0" w:color="auto"/>
            </w:tcBorders>
            <w:shd w:val="clear" w:color="auto" w:fill="auto"/>
            <w:noWrap/>
            <w:vAlign w:val="center"/>
            <w:hideMark/>
          </w:tcPr>
          <w:p w14:paraId="0C938C86" w14:textId="77777777" w:rsidR="00FE690E" w:rsidRPr="00FE690E" w:rsidRDefault="00FE690E" w:rsidP="00FE690E">
            <w:pPr>
              <w:spacing w:after="0"/>
              <w:jc w:val="center"/>
              <w:rPr>
                <w:b/>
                <w:bCs/>
                <w:color w:val="000000"/>
                <w:szCs w:val="22"/>
                <w:lang w:val="en-US"/>
              </w:rPr>
            </w:pPr>
            <w:r w:rsidRPr="00FE690E">
              <w:rPr>
                <w:b/>
                <w:bCs/>
                <w:color w:val="000000"/>
                <w:szCs w:val="22"/>
                <w:lang w:val="en-US"/>
              </w:rPr>
              <w:t>Thermal Noise [dBm]</w:t>
            </w:r>
          </w:p>
        </w:tc>
        <w:tc>
          <w:tcPr>
            <w:tcW w:w="1675" w:type="dxa"/>
            <w:tcBorders>
              <w:top w:val="single" w:sz="8" w:space="0" w:color="auto"/>
              <w:left w:val="nil"/>
              <w:bottom w:val="single" w:sz="8" w:space="0" w:color="auto"/>
              <w:right w:val="single" w:sz="4" w:space="0" w:color="auto"/>
            </w:tcBorders>
            <w:shd w:val="clear" w:color="auto" w:fill="auto"/>
            <w:noWrap/>
            <w:vAlign w:val="center"/>
            <w:hideMark/>
          </w:tcPr>
          <w:p w14:paraId="1382A37C" w14:textId="77777777" w:rsidR="00FE690E" w:rsidRPr="00FE690E" w:rsidRDefault="00FE690E" w:rsidP="00FE690E">
            <w:pPr>
              <w:spacing w:after="0"/>
              <w:jc w:val="center"/>
              <w:rPr>
                <w:b/>
                <w:bCs/>
                <w:color w:val="000000"/>
                <w:szCs w:val="22"/>
                <w:lang w:val="en-US"/>
              </w:rPr>
            </w:pPr>
            <w:r w:rsidRPr="00FE690E">
              <w:rPr>
                <w:b/>
                <w:bCs/>
                <w:color w:val="000000"/>
                <w:szCs w:val="22"/>
                <w:lang w:val="en-US"/>
              </w:rPr>
              <w:t>SINR target [dB]</w:t>
            </w:r>
          </w:p>
        </w:tc>
        <w:tc>
          <w:tcPr>
            <w:tcW w:w="1800" w:type="dxa"/>
            <w:tcBorders>
              <w:top w:val="single" w:sz="8" w:space="0" w:color="auto"/>
              <w:left w:val="nil"/>
              <w:bottom w:val="single" w:sz="8" w:space="0" w:color="auto"/>
              <w:right w:val="single" w:sz="4" w:space="0" w:color="auto"/>
            </w:tcBorders>
            <w:shd w:val="clear" w:color="auto" w:fill="auto"/>
            <w:noWrap/>
            <w:vAlign w:val="center"/>
            <w:hideMark/>
          </w:tcPr>
          <w:p w14:paraId="15C6855F" w14:textId="77777777" w:rsidR="00FE690E" w:rsidRPr="00FE690E" w:rsidRDefault="00FE690E" w:rsidP="00FE690E">
            <w:pPr>
              <w:spacing w:after="0"/>
              <w:jc w:val="center"/>
              <w:rPr>
                <w:b/>
                <w:bCs/>
                <w:color w:val="000000"/>
                <w:szCs w:val="22"/>
                <w:lang w:val="en-US"/>
              </w:rPr>
            </w:pPr>
            <w:r w:rsidRPr="00FE690E">
              <w:rPr>
                <w:b/>
                <w:bCs/>
                <w:i/>
                <w:color w:val="000000"/>
                <w:szCs w:val="22"/>
                <w:lang w:val="en-US"/>
              </w:rPr>
              <w:t>P</w:t>
            </w:r>
            <w:r w:rsidRPr="00FE690E">
              <w:rPr>
                <w:b/>
                <w:bCs/>
                <w:color w:val="000000"/>
                <w:szCs w:val="22"/>
                <w:vertAlign w:val="subscript"/>
                <w:lang w:val="en-US"/>
              </w:rPr>
              <w:t>O_PUSCH</w:t>
            </w:r>
            <w:r w:rsidRPr="00FE690E">
              <w:rPr>
                <w:b/>
                <w:bCs/>
                <w:color w:val="000000"/>
                <w:szCs w:val="22"/>
                <w:lang w:val="en-US"/>
              </w:rPr>
              <w:t xml:space="preserve"> [dBm]</w:t>
            </w:r>
          </w:p>
        </w:tc>
        <w:tc>
          <w:tcPr>
            <w:tcW w:w="905" w:type="dxa"/>
            <w:tcBorders>
              <w:top w:val="single" w:sz="8" w:space="0" w:color="auto"/>
              <w:left w:val="nil"/>
              <w:bottom w:val="single" w:sz="8" w:space="0" w:color="auto"/>
              <w:right w:val="single" w:sz="4" w:space="0" w:color="auto"/>
            </w:tcBorders>
            <w:shd w:val="clear" w:color="auto" w:fill="auto"/>
            <w:noWrap/>
            <w:vAlign w:val="center"/>
            <w:hideMark/>
          </w:tcPr>
          <w:p w14:paraId="7BF73F43" w14:textId="77777777" w:rsidR="00FE690E" w:rsidRPr="00FE690E" w:rsidRDefault="00FE690E" w:rsidP="00FE690E">
            <w:pPr>
              <w:spacing w:after="0"/>
              <w:jc w:val="center"/>
              <w:rPr>
                <w:b/>
                <w:bCs/>
                <w:color w:val="000000"/>
                <w:szCs w:val="22"/>
                <w:lang w:val="en-US"/>
              </w:rPr>
            </w:pPr>
            <w:r w:rsidRPr="00FE690E">
              <w:rPr>
                <w:b/>
                <w:bCs/>
                <w:color w:val="000000"/>
                <w:szCs w:val="22"/>
                <w:lang w:val="en-US"/>
              </w:rPr>
              <w:t>Gamma</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5742DE8E" w14:textId="3AA2A16D" w:rsidR="00FE690E" w:rsidRPr="00FE690E" w:rsidRDefault="00FE690E" w:rsidP="00FE690E">
            <w:pPr>
              <w:spacing w:after="0"/>
              <w:jc w:val="center"/>
              <w:rPr>
                <w:b/>
                <w:bCs/>
                <w:color w:val="000000"/>
                <w:szCs w:val="22"/>
                <w:lang w:val="en-US"/>
              </w:rPr>
            </w:pPr>
            <w:r w:rsidRPr="007446C4">
              <w:rPr>
                <w:b/>
                <w:bCs/>
                <w:i/>
                <w:color w:val="000000"/>
                <w:szCs w:val="22"/>
                <w:lang w:val="en-US"/>
              </w:rPr>
              <w:t>CL</w:t>
            </w:r>
            <w:r w:rsidRPr="00FE690E">
              <w:rPr>
                <w:b/>
                <w:bCs/>
                <w:color w:val="000000"/>
                <w:szCs w:val="22"/>
                <w:vertAlign w:val="subscript"/>
                <w:lang w:val="en-US"/>
              </w:rPr>
              <w:t>xile</w:t>
            </w:r>
            <w:r w:rsidRPr="00FE690E">
              <w:rPr>
                <w:b/>
                <w:bCs/>
                <w:color w:val="000000"/>
                <w:szCs w:val="22"/>
                <w:lang w:val="en-US"/>
              </w:rPr>
              <w:t xml:space="preserve"> [dB]</w:t>
            </w:r>
          </w:p>
        </w:tc>
      </w:tr>
      <w:tr w:rsidR="00FE690E" w:rsidRPr="00FE690E" w14:paraId="5848E9AD" w14:textId="77777777" w:rsidTr="00FE690E">
        <w:trPr>
          <w:trHeight w:val="288"/>
        </w:trPr>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0D75D3C1" w14:textId="77777777" w:rsidR="00FE690E" w:rsidRPr="00FE690E" w:rsidRDefault="00FE690E" w:rsidP="00FE690E">
            <w:pPr>
              <w:spacing w:after="0"/>
              <w:jc w:val="center"/>
              <w:rPr>
                <w:color w:val="000000"/>
                <w:szCs w:val="22"/>
                <w:lang w:val="en-US"/>
              </w:rPr>
            </w:pPr>
            <w:r w:rsidRPr="00FE690E">
              <w:rPr>
                <w:color w:val="000000"/>
                <w:szCs w:val="22"/>
                <w:lang w:val="en-US"/>
              </w:rPr>
              <w:t>23</w:t>
            </w:r>
          </w:p>
        </w:tc>
        <w:tc>
          <w:tcPr>
            <w:tcW w:w="1170" w:type="dxa"/>
            <w:tcBorders>
              <w:top w:val="nil"/>
              <w:left w:val="nil"/>
              <w:bottom w:val="single" w:sz="4" w:space="0" w:color="auto"/>
              <w:right w:val="single" w:sz="4" w:space="0" w:color="auto"/>
            </w:tcBorders>
            <w:shd w:val="clear" w:color="auto" w:fill="auto"/>
            <w:noWrap/>
            <w:vAlign w:val="bottom"/>
            <w:hideMark/>
          </w:tcPr>
          <w:p w14:paraId="7C4938A6" w14:textId="77777777" w:rsidR="00FE690E" w:rsidRPr="00FE690E" w:rsidRDefault="00FE690E" w:rsidP="00FE690E">
            <w:pPr>
              <w:spacing w:after="0"/>
              <w:jc w:val="center"/>
              <w:rPr>
                <w:color w:val="000000"/>
                <w:szCs w:val="22"/>
                <w:lang w:val="en-US"/>
              </w:rPr>
            </w:pPr>
            <w:r w:rsidRPr="00FE690E">
              <w:rPr>
                <w:color w:val="000000"/>
                <w:szCs w:val="22"/>
                <w:lang w:val="en-US"/>
              </w:rPr>
              <w:t>180</w:t>
            </w:r>
          </w:p>
        </w:tc>
        <w:tc>
          <w:tcPr>
            <w:tcW w:w="720" w:type="dxa"/>
            <w:tcBorders>
              <w:top w:val="nil"/>
              <w:left w:val="nil"/>
              <w:bottom w:val="single" w:sz="4" w:space="0" w:color="auto"/>
              <w:right w:val="single" w:sz="4" w:space="0" w:color="auto"/>
            </w:tcBorders>
            <w:shd w:val="clear" w:color="auto" w:fill="auto"/>
            <w:noWrap/>
            <w:vAlign w:val="bottom"/>
            <w:hideMark/>
          </w:tcPr>
          <w:p w14:paraId="200F3896" w14:textId="77777777" w:rsidR="00FE690E" w:rsidRPr="00FE690E" w:rsidRDefault="00FE690E" w:rsidP="00FE690E">
            <w:pPr>
              <w:spacing w:after="0"/>
              <w:jc w:val="center"/>
              <w:rPr>
                <w:color w:val="000000"/>
                <w:szCs w:val="22"/>
                <w:lang w:val="en-US"/>
              </w:rPr>
            </w:pPr>
            <w:r w:rsidRPr="00FE690E">
              <w:rPr>
                <w:color w:val="000000"/>
                <w:szCs w:val="22"/>
                <w:lang w:val="en-US"/>
              </w:rPr>
              <w:t>9</w:t>
            </w:r>
          </w:p>
        </w:tc>
        <w:tc>
          <w:tcPr>
            <w:tcW w:w="1294" w:type="dxa"/>
            <w:tcBorders>
              <w:top w:val="nil"/>
              <w:left w:val="nil"/>
              <w:bottom w:val="single" w:sz="4" w:space="0" w:color="auto"/>
              <w:right w:val="single" w:sz="4" w:space="0" w:color="auto"/>
            </w:tcBorders>
            <w:shd w:val="clear" w:color="auto" w:fill="auto"/>
            <w:noWrap/>
            <w:vAlign w:val="bottom"/>
            <w:hideMark/>
          </w:tcPr>
          <w:p w14:paraId="02FA84C6" w14:textId="77777777" w:rsidR="00FE690E" w:rsidRPr="00FE690E" w:rsidRDefault="00FE690E" w:rsidP="00FE690E">
            <w:pPr>
              <w:spacing w:after="0"/>
              <w:jc w:val="center"/>
              <w:rPr>
                <w:color w:val="000000"/>
                <w:szCs w:val="22"/>
                <w:lang w:val="en-US"/>
              </w:rPr>
            </w:pPr>
            <w:r w:rsidRPr="00FE690E">
              <w:rPr>
                <w:color w:val="000000"/>
                <w:szCs w:val="22"/>
                <w:lang w:val="en-US"/>
              </w:rPr>
              <w:t>-82.4</w:t>
            </w:r>
          </w:p>
        </w:tc>
        <w:tc>
          <w:tcPr>
            <w:tcW w:w="1675" w:type="dxa"/>
            <w:tcBorders>
              <w:top w:val="nil"/>
              <w:left w:val="nil"/>
              <w:bottom w:val="single" w:sz="4" w:space="0" w:color="auto"/>
              <w:right w:val="single" w:sz="4" w:space="0" w:color="auto"/>
            </w:tcBorders>
            <w:shd w:val="clear" w:color="auto" w:fill="auto"/>
            <w:noWrap/>
            <w:vAlign w:val="bottom"/>
            <w:hideMark/>
          </w:tcPr>
          <w:p w14:paraId="5FC44ED5" w14:textId="77777777" w:rsidR="00FE690E" w:rsidRPr="00FE690E" w:rsidRDefault="00FE690E" w:rsidP="00FE690E">
            <w:pPr>
              <w:spacing w:after="0"/>
              <w:jc w:val="center"/>
              <w:rPr>
                <w:color w:val="000000"/>
                <w:szCs w:val="22"/>
                <w:lang w:val="en-US"/>
              </w:rPr>
            </w:pPr>
            <w:r w:rsidRPr="00FE690E">
              <w:rPr>
                <w:color w:val="000000"/>
                <w:szCs w:val="22"/>
                <w:lang w:val="en-US"/>
              </w:rPr>
              <w:t>15</w:t>
            </w:r>
          </w:p>
        </w:tc>
        <w:tc>
          <w:tcPr>
            <w:tcW w:w="1800" w:type="dxa"/>
            <w:tcBorders>
              <w:top w:val="nil"/>
              <w:left w:val="nil"/>
              <w:bottom w:val="single" w:sz="4" w:space="0" w:color="auto"/>
              <w:right w:val="single" w:sz="4" w:space="0" w:color="auto"/>
            </w:tcBorders>
            <w:shd w:val="clear" w:color="auto" w:fill="auto"/>
            <w:noWrap/>
            <w:vAlign w:val="bottom"/>
            <w:hideMark/>
          </w:tcPr>
          <w:p w14:paraId="09113659" w14:textId="77777777" w:rsidR="00FE690E" w:rsidRPr="00FE690E" w:rsidRDefault="00FE690E" w:rsidP="00FE690E">
            <w:pPr>
              <w:spacing w:after="0"/>
              <w:jc w:val="center"/>
              <w:rPr>
                <w:color w:val="000000"/>
                <w:szCs w:val="22"/>
                <w:lang w:val="en-US"/>
              </w:rPr>
            </w:pPr>
            <w:r w:rsidRPr="00FE690E">
              <w:rPr>
                <w:color w:val="000000"/>
                <w:szCs w:val="22"/>
                <w:lang w:val="en-US"/>
              </w:rPr>
              <w:t>-67.4</w:t>
            </w:r>
          </w:p>
        </w:tc>
        <w:tc>
          <w:tcPr>
            <w:tcW w:w="905" w:type="dxa"/>
            <w:tcBorders>
              <w:top w:val="nil"/>
              <w:left w:val="nil"/>
              <w:bottom w:val="single" w:sz="4" w:space="0" w:color="auto"/>
              <w:right w:val="single" w:sz="4" w:space="0" w:color="auto"/>
            </w:tcBorders>
            <w:shd w:val="clear" w:color="auto" w:fill="auto"/>
            <w:noWrap/>
            <w:vAlign w:val="bottom"/>
            <w:hideMark/>
          </w:tcPr>
          <w:p w14:paraId="745EAD33" w14:textId="77777777" w:rsidR="00FE690E" w:rsidRPr="00FE690E" w:rsidRDefault="00FE690E" w:rsidP="00FE690E">
            <w:pPr>
              <w:spacing w:after="0"/>
              <w:jc w:val="center"/>
              <w:rPr>
                <w:color w:val="000000"/>
                <w:szCs w:val="22"/>
                <w:lang w:val="en-US"/>
              </w:rPr>
            </w:pPr>
            <w:r w:rsidRPr="00FE690E">
              <w:rPr>
                <w:color w:val="000000"/>
                <w:szCs w:val="22"/>
                <w:lang w:val="en-US"/>
              </w:rPr>
              <w:t>1</w:t>
            </w:r>
          </w:p>
        </w:tc>
        <w:tc>
          <w:tcPr>
            <w:tcW w:w="1355" w:type="dxa"/>
            <w:tcBorders>
              <w:top w:val="nil"/>
              <w:left w:val="nil"/>
              <w:bottom w:val="single" w:sz="4" w:space="0" w:color="auto"/>
              <w:right w:val="single" w:sz="8" w:space="0" w:color="auto"/>
            </w:tcBorders>
            <w:shd w:val="clear" w:color="auto" w:fill="auto"/>
            <w:noWrap/>
            <w:vAlign w:val="bottom"/>
            <w:hideMark/>
          </w:tcPr>
          <w:p w14:paraId="6F27788F" w14:textId="77777777" w:rsidR="00FE690E" w:rsidRPr="00FE690E" w:rsidRDefault="00FE690E" w:rsidP="00FE690E">
            <w:pPr>
              <w:spacing w:after="0"/>
              <w:jc w:val="center"/>
              <w:rPr>
                <w:color w:val="000000"/>
                <w:szCs w:val="22"/>
                <w:lang w:val="en-US"/>
              </w:rPr>
            </w:pPr>
            <w:r w:rsidRPr="00FE690E">
              <w:rPr>
                <w:color w:val="000000"/>
                <w:szCs w:val="22"/>
                <w:lang w:val="en-US"/>
              </w:rPr>
              <w:t>90.4</w:t>
            </w:r>
          </w:p>
        </w:tc>
      </w:tr>
      <w:tr w:rsidR="00FE690E" w:rsidRPr="00FE690E" w14:paraId="60260CE5" w14:textId="77777777" w:rsidTr="00FE690E">
        <w:trPr>
          <w:trHeight w:val="288"/>
        </w:trPr>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00398910" w14:textId="77777777" w:rsidR="00FE690E" w:rsidRPr="00FE690E" w:rsidRDefault="00FE690E" w:rsidP="00FE690E">
            <w:pPr>
              <w:spacing w:after="0"/>
              <w:jc w:val="center"/>
              <w:rPr>
                <w:color w:val="000000"/>
                <w:szCs w:val="22"/>
                <w:lang w:val="en-US"/>
              </w:rPr>
            </w:pPr>
            <w:r w:rsidRPr="00FE690E">
              <w:rPr>
                <w:color w:val="000000"/>
                <w:szCs w:val="22"/>
                <w:lang w:val="en-US"/>
              </w:rPr>
              <w:t>23</w:t>
            </w:r>
          </w:p>
        </w:tc>
        <w:tc>
          <w:tcPr>
            <w:tcW w:w="1170" w:type="dxa"/>
            <w:tcBorders>
              <w:top w:val="nil"/>
              <w:left w:val="nil"/>
              <w:bottom w:val="single" w:sz="4" w:space="0" w:color="auto"/>
              <w:right w:val="single" w:sz="4" w:space="0" w:color="auto"/>
            </w:tcBorders>
            <w:shd w:val="clear" w:color="auto" w:fill="auto"/>
            <w:noWrap/>
            <w:vAlign w:val="bottom"/>
            <w:hideMark/>
          </w:tcPr>
          <w:p w14:paraId="3A4BDDEA" w14:textId="77777777" w:rsidR="00FE690E" w:rsidRPr="00FE690E" w:rsidRDefault="00FE690E" w:rsidP="00FE690E">
            <w:pPr>
              <w:spacing w:after="0"/>
              <w:jc w:val="center"/>
              <w:rPr>
                <w:color w:val="000000"/>
                <w:szCs w:val="22"/>
                <w:lang w:val="en-US"/>
              </w:rPr>
            </w:pPr>
            <w:r w:rsidRPr="00FE690E">
              <w:rPr>
                <w:color w:val="000000"/>
                <w:szCs w:val="22"/>
                <w:lang w:val="en-US"/>
              </w:rPr>
              <w:t>200</w:t>
            </w:r>
          </w:p>
        </w:tc>
        <w:tc>
          <w:tcPr>
            <w:tcW w:w="720" w:type="dxa"/>
            <w:tcBorders>
              <w:top w:val="nil"/>
              <w:left w:val="nil"/>
              <w:bottom w:val="single" w:sz="4" w:space="0" w:color="auto"/>
              <w:right w:val="single" w:sz="4" w:space="0" w:color="auto"/>
            </w:tcBorders>
            <w:shd w:val="clear" w:color="auto" w:fill="auto"/>
            <w:noWrap/>
            <w:vAlign w:val="bottom"/>
            <w:hideMark/>
          </w:tcPr>
          <w:p w14:paraId="0B8D2F35" w14:textId="77777777" w:rsidR="00FE690E" w:rsidRPr="00FE690E" w:rsidRDefault="00FE690E" w:rsidP="00FE690E">
            <w:pPr>
              <w:spacing w:after="0"/>
              <w:jc w:val="center"/>
              <w:rPr>
                <w:color w:val="000000"/>
                <w:szCs w:val="22"/>
                <w:lang w:val="en-US"/>
              </w:rPr>
            </w:pPr>
            <w:r w:rsidRPr="00FE690E">
              <w:rPr>
                <w:color w:val="000000"/>
                <w:szCs w:val="22"/>
                <w:lang w:val="en-US"/>
              </w:rPr>
              <w:t>13</w:t>
            </w:r>
          </w:p>
        </w:tc>
        <w:tc>
          <w:tcPr>
            <w:tcW w:w="1294" w:type="dxa"/>
            <w:tcBorders>
              <w:top w:val="nil"/>
              <w:left w:val="nil"/>
              <w:bottom w:val="single" w:sz="4" w:space="0" w:color="auto"/>
              <w:right w:val="single" w:sz="4" w:space="0" w:color="auto"/>
            </w:tcBorders>
            <w:shd w:val="clear" w:color="auto" w:fill="auto"/>
            <w:noWrap/>
            <w:vAlign w:val="bottom"/>
            <w:hideMark/>
          </w:tcPr>
          <w:p w14:paraId="4258B3E9" w14:textId="77777777" w:rsidR="00FE690E" w:rsidRPr="00FE690E" w:rsidRDefault="00FE690E" w:rsidP="00FE690E">
            <w:pPr>
              <w:spacing w:after="0"/>
              <w:jc w:val="center"/>
              <w:rPr>
                <w:color w:val="000000"/>
                <w:szCs w:val="22"/>
                <w:lang w:val="en-US"/>
              </w:rPr>
            </w:pPr>
            <w:r w:rsidRPr="00FE690E">
              <w:rPr>
                <w:color w:val="000000"/>
                <w:szCs w:val="22"/>
                <w:lang w:val="en-US"/>
              </w:rPr>
              <w:t>-78.0</w:t>
            </w:r>
          </w:p>
        </w:tc>
        <w:tc>
          <w:tcPr>
            <w:tcW w:w="1675" w:type="dxa"/>
            <w:tcBorders>
              <w:top w:val="nil"/>
              <w:left w:val="nil"/>
              <w:bottom w:val="single" w:sz="4" w:space="0" w:color="auto"/>
              <w:right w:val="single" w:sz="4" w:space="0" w:color="auto"/>
            </w:tcBorders>
            <w:shd w:val="clear" w:color="auto" w:fill="auto"/>
            <w:noWrap/>
            <w:vAlign w:val="bottom"/>
            <w:hideMark/>
          </w:tcPr>
          <w:p w14:paraId="5FFAB933" w14:textId="77777777" w:rsidR="00FE690E" w:rsidRPr="00FE690E" w:rsidRDefault="00FE690E" w:rsidP="00FE690E">
            <w:pPr>
              <w:spacing w:after="0"/>
              <w:jc w:val="center"/>
              <w:rPr>
                <w:color w:val="000000"/>
                <w:szCs w:val="22"/>
                <w:lang w:val="en-US"/>
              </w:rPr>
            </w:pPr>
            <w:r w:rsidRPr="00FE690E">
              <w:rPr>
                <w:color w:val="000000"/>
                <w:szCs w:val="22"/>
                <w:lang w:val="en-US"/>
              </w:rPr>
              <w:t>15</w:t>
            </w:r>
          </w:p>
        </w:tc>
        <w:tc>
          <w:tcPr>
            <w:tcW w:w="1800" w:type="dxa"/>
            <w:tcBorders>
              <w:top w:val="nil"/>
              <w:left w:val="nil"/>
              <w:bottom w:val="single" w:sz="4" w:space="0" w:color="auto"/>
              <w:right w:val="single" w:sz="4" w:space="0" w:color="auto"/>
            </w:tcBorders>
            <w:shd w:val="clear" w:color="auto" w:fill="auto"/>
            <w:noWrap/>
            <w:vAlign w:val="bottom"/>
            <w:hideMark/>
          </w:tcPr>
          <w:p w14:paraId="309FC547" w14:textId="77777777" w:rsidR="00FE690E" w:rsidRPr="00FE690E" w:rsidRDefault="00FE690E" w:rsidP="00FE690E">
            <w:pPr>
              <w:spacing w:after="0"/>
              <w:jc w:val="center"/>
              <w:rPr>
                <w:color w:val="000000"/>
                <w:szCs w:val="22"/>
                <w:lang w:val="en-US"/>
              </w:rPr>
            </w:pPr>
            <w:r w:rsidRPr="00FE690E">
              <w:rPr>
                <w:color w:val="000000"/>
                <w:szCs w:val="22"/>
                <w:lang w:val="en-US"/>
              </w:rPr>
              <w:t>-63.0</w:t>
            </w:r>
          </w:p>
        </w:tc>
        <w:tc>
          <w:tcPr>
            <w:tcW w:w="905" w:type="dxa"/>
            <w:tcBorders>
              <w:top w:val="nil"/>
              <w:left w:val="nil"/>
              <w:bottom w:val="single" w:sz="4" w:space="0" w:color="auto"/>
              <w:right w:val="single" w:sz="4" w:space="0" w:color="auto"/>
            </w:tcBorders>
            <w:shd w:val="clear" w:color="auto" w:fill="auto"/>
            <w:noWrap/>
            <w:vAlign w:val="bottom"/>
            <w:hideMark/>
          </w:tcPr>
          <w:p w14:paraId="7C5FEFE8" w14:textId="77777777" w:rsidR="00FE690E" w:rsidRPr="00FE690E" w:rsidRDefault="00FE690E" w:rsidP="00FE690E">
            <w:pPr>
              <w:spacing w:after="0"/>
              <w:jc w:val="center"/>
              <w:rPr>
                <w:color w:val="000000"/>
                <w:szCs w:val="22"/>
                <w:lang w:val="en-US"/>
              </w:rPr>
            </w:pPr>
            <w:r w:rsidRPr="00FE690E">
              <w:rPr>
                <w:color w:val="000000"/>
                <w:szCs w:val="22"/>
                <w:lang w:val="en-US"/>
              </w:rPr>
              <w:t>1</w:t>
            </w:r>
          </w:p>
        </w:tc>
        <w:tc>
          <w:tcPr>
            <w:tcW w:w="1355" w:type="dxa"/>
            <w:tcBorders>
              <w:top w:val="nil"/>
              <w:left w:val="nil"/>
              <w:bottom w:val="single" w:sz="4" w:space="0" w:color="auto"/>
              <w:right w:val="single" w:sz="8" w:space="0" w:color="auto"/>
            </w:tcBorders>
            <w:shd w:val="clear" w:color="auto" w:fill="auto"/>
            <w:noWrap/>
            <w:vAlign w:val="bottom"/>
            <w:hideMark/>
          </w:tcPr>
          <w:p w14:paraId="0783A38D" w14:textId="77777777" w:rsidR="00FE690E" w:rsidRPr="00FE690E" w:rsidRDefault="00FE690E" w:rsidP="00FE690E">
            <w:pPr>
              <w:spacing w:after="0"/>
              <w:jc w:val="center"/>
              <w:rPr>
                <w:color w:val="000000"/>
                <w:szCs w:val="22"/>
                <w:lang w:val="en-US"/>
              </w:rPr>
            </w:pPr>
            <w:r w:rsidRPr="00FE690E">
              <w:rPr>
                <w:color w:val="000000"/>
                <w:szCs w:val="22"/>
                <w:lang w:val="en-US"/>
              </w:rPr>
              <w:t>86.0</w:t>
            </w:r>
          </w:p>
        </w:tc>
      </w:tr>
      <w:tr w:rsidR="00FE690E" w:rsidRPr="00FE690E" w14:paraId="1DEABB18" w14:textId="77777777" w:rsidTr="00FE690E">
        <w:trPr>
          <w:trHeight w:val="288"/>
        </w:trPr>
        <w:tc>
          <w:tcPr>
            <w:tcW w:w="990" w:type="dxa"/>
            <w:tcBorders>
              <w:top w:val="nil"/>
              <w:left w:val="single" w:sz="8" w:space="0" w:color="auto"/>
              <w:bottom w:val="single" w:sz="4" w:space="0" w:color="auto"/>
              <w:right w:val="single" w:sz="4" w:space="0" w:color="auto"/>
            </w:tcBorders>
            <w:shd w:val="clear" w:color="auto" w:fill="auto"/>
            <w:noWrap/>
            <w:vAlign w:val="bottom"/>
            <w:hideMark/>
          </w:tcPr>
          <w:p w14:paraId="2EC9A1A2" w14:textId="77777777" w:rsidR="00FE690E" w:rsidRPr="00FE690E" w:rsidRDefault="00FE690E" w:rsidP="00FE690E">
            <w:pPr>
              <w:spacing w:after="0"/>
              <w:jc w:val="center"/>
              <w:rPr>
                <w:color w:val="000000"/>
                <w:szCs w:val="22"/>
                <w:lang w:val="en-US"/>
              </w:rPr>
            </w:pPr>
            <w:r w:rsidRPr="00FE690E">
              <w:rPr>
                <w:color w:val="000000"/>
                <w:szCs w:val="22"/>
                <w:lang w:val="en-US"/>
              </w:rPr>
              <w:t>23</w:t>
            </w:r>
          </w:p>
        </w:tc>
        <w:tc>
          <w:tcPr>
            <w:tcW w:w="1170" w:type="dxa"/>
            <w:tcBorders>
              <w:top w:val="nil"/>
              <w:left w:val="nil"/>
              <w:bottom w:val="single" w:sz="4" w:space="0" w:color="auto"/>
              <w:right w:val="single" w:sz="4" w:space="0" w:color="auto"/>
            </w:tcBorders>
            <w:shd w:val="clear" w:color="auto" w:fill="auto"/>
            <w:noWrap/>
            <w:vAlign w:val="bottom"/>
            <w:hideMark/>
          </w:tcPr>
          <w:p w14:paraId="084A81AC" w14:textId="77777777" w:rsidR="00FE690E" w:rsidRPr="00FE690E" w:rsidRDefault="00FE690E" w:rsidP="00FE690E">
            <w:pPr>
              <w:spacing w:after="0"/>
              <w:jc w:val="center"/>
              <w:rPr>
                <w:color w:val="000000"/>
                <w:szCs w:val="22"/>
                <w:lang w:val="en-US"/>
              </w:rPr>
            </w:pPr>
            <w:r w:rsidRPr="00FE690E">
              <w:rPr>
                <w:color w:val="000000"/>
                <w:szCs w:val="22"/>
                <w:lang w:val="en-US"/>
              </w:rPr>
              <w:t>180</w:t>
            </w:r>
          </w:p>
        </w:tc>
        <w:tc>
          <w:tcPr>
            <w:tcW w:w="720" w:type="dxa"/>
            <w:tcBorders>
              <w:top w:val="nil"/>
              <w:left w:val="nil"/>
              <w:bottom w:val="single" w:sz="4" w:space="0" w:color="auto"/>
              <w:right w:val="single" w:sz="4" w:space="0" w:color="auto"/>
            </w:tcBorders>
            <w:shd w:val="clear" w:color="auto" w:fill="auto"/>
            <w:noWrap/>
            <w:vAlign w:val="bottom"/>
            <w:hideMark/>
          </w:tcPr>
          <w:p w14:paraId="2D5D5158" w14:textId="77777777" w:rsidR="00FE690E" w:rsidRPr="00FE690E" w:rsidRDefault="00FE690E" w:rsidP="00FE690E">
            <w:pPr>
              <w:spacing w:after="0"/>
              <w:jc w:val="center"/>
              <w:rPr>
                <w:color w:val="000000"/>
                <w:szCs w:val="22"/>
                <w:lang w:val="en-US"/>
              </w:rPr>
            </w:pPr>
            <w:r w:rsidRPr="00FE690E">
              <w:rPr>
                <w:color w:val="000000"/>
                <w:szCs w:val="22"/>
                <w:lang w:val="en-US"/>
              </w:rPr>
              <w:t>9</w:t>
            </w:r>
          </w:p>
        </w:tc>
        <w:tc>
          <w:tcPr>
            <w:tcW w:w="1294" w:type="dxa"/>
            <w:tcBorders>
              <w:top w:val="nil"/>
              <w:left w:val="nil"/>
              <w:bottom w:val="single" w:sz="4" w:space="0" w:color="auto"/>
              <w:right w:val="single" w:sz="4" w:space="0" w:color="auto"/>
            </w:tcBorders>
            <w:shd w:val="clear" w:color="auto" w:fill="auto"/>
            <w:noWrap/>
            <w:vAlign w:val="bottom"/>
            <w:hideMark/>
          </w:tcPr>
          <w:p w14:paraId="700656BC" w14:textId="77777777" w:rsidR="00FE690E" w:rsidRPr="00FE690E" w:rsidRDefault="00FE690E" w:rsidP="00FE690E">
            <w:pPr>
              <w:spacing w:after="0"/>
              <w:jc w:val="center"/>
              <w:rPr>
                <w:color w:val="000000"/>
                <w:szCs w:val="22"/>
                <w:lang w:val="en-US"/>
              </w:rPr>
            </w:pPr>
            <w:r w:rsidRPr="00FE690E">
              <w:rPr>
                <w:color w:val="000000"/>
                <w:szCs w:val="22"/>
                <w:lang w:val="en-US"/>
              </w:rPr>
              <w:t>-82.4</w:t>
            </w:r>
          </w:p>
        </w:tc>
        <w:tc>
          <w:tcPr>
            <w:tcW w:w="1675" w:type="dxa"/>
            <w:tcBorders>
              <w:top w:val="nil"/>
              <w:left w:val="nil"/>
              <w:bottom w:val="single" w:sz="4" w:space="0" w:color="auto"/>
              <w:right w:val="single" w:sz="4" w:space="0" w:color="auto"/>
            </w:tcBorders>
            <w:shd w:val="clear" w:color="auto" w:fill="auto"/>
            <w:noWrap/>
            <w:vAlign w:val="bottom"/>
            <w:hideMark/>
          </w:tcPr>
          <w:p w14:paraId="3E3A6C39" w14:textId="77777777" w:rsidR="00FE690E" w:rsidRPr="00FE690E" w:rsidRDefault="00FE690E" w:rsidP="00FE690E">
            <w:pPr>
              <w:spacing w:after="0"/>
              <w:jc w:val="center"/>
              <w:rPr>
                <w:color w:val="000000"/>
                <w:szCs w:val="22"/>
                <w:lang w:val="en-US"/>
              </w:rPr>
            </w:pPr>
            <w:r w:rsidRPr="00FE690E">
              <w:rPr>
                <w:color w:val="000000"/>
                <w:szCs w:val="22"/>
                <w:lang w:val="en-US"/>
              </w:rPr>
              <w:t>15</w:t>
            </w:r>
          </w:p>
        </w:tc>
        <w:tc>
          <w:tcPr>
            <w:tcW w:w="1800" w:type="dxa"/>
            <w:tcBorders>
              <w:top w:val="nil"/>
              <w:left w:val="nil"/>
              <w:bottom w:val="single" w:sz="4" w:space="0" w:color="auto"/>
              <w:right w:val="single" w:sz="4" w:space="0" w:color="auto"/>
            </w:tcBorders>
            <w:shd w:val="clear" w:color="auto" w:fill="auto"/>
            <w:noWrap/>
            <w:vAlign w:val="bottom"/>
            <w:hideMark/>
          </w:tcPr>
          <w:p w14:paraId="62569F58" w14:textId="77777777" w:rsidR="00FE690E" w:rsidRPr="00FE690E" w:rsidRDefault="00FE690E" w:rsidP="00FE690E">
            <w:pPr>
              <w:spacing w:after="0"/>
              <w:jc w:val="center"/>
              <w:rPr>
                <w:color w:val="000000"/>
                <w:szCs w:val="22"/>
                <w:lang w:val="en-US"/>
              </w:rPr>
            </w:pPr>
            <w:r w:rsidRPr="00FE690E">
              <w:rPr>
                <w:color w:val="000000"/>
                <w:szCs w:val="22"/>
                <w:lang w:val="en-US"/>
              </w:rPr>
              <w:t>-67.4</w:t>
            </w:r>
          </w:p>
        </w:tc>
        <w:tc>
          <w:tcPr>
            <w:tcW w:w="905" w:type="dxa"/>
            <w:tcBorders>
              <w:top w:val="nil"/>
              <w:left w:val="nil"/>
              <w:bottom w:val="single" w:sz="4" w:space="0" w:color="auto"/>
              <w:right w:val="single" w:sz="4" w:space="0" w:color="auto"/>
            </w:tcBorders>
            <w:shd w:val="clear" w:color="auto" w:fill="auto"/>
            <w:noWrap/>
            <w:vAlign w:val="bottom"/>
            <w:hideMark/>
          </w:tcPr>
          <w:p w14:paraId="302BEE9A" w14:textId="77777777" w:rsidR="00FE690E" w:rsidRPr="00FE690E" w:rsidRDefault="00FE690E" w:rsidP="00FE690E">
            <w:pPr>
              <w:spacing w:after="0"/>
              <w:jc w:val="center"/>
              <w:rPr>
                <w:color w:val="000000"/>
                <w:szCs w:val="22"/>
                <w:lang w:val="en-US"/>
              </w:rPr>
            </w:pPr>
            <w:r w:rsidRPr="00FE690E">
              <w:rPr>
                <w:color w:val="000000"/>
                <w:szCs w:val="22"/>
                <w:lang w:val="en-US"/>
              </w:rPr>
              <w:t>1</w:t>
            </w:r>
          </w:p>
        </w:tc>
        <w:tc>
          <w:tcPr>
            <w:tcW w:w="1355" w:type="dxa"/>
            <w:tcBorders>
              <w:top w:val="nil"/>
              <w:left w:val="nil"/>
              <w:bottom w:val="single" w:sz="4" w:space="0" w:color="auto"/>
              <w:right w:val="single" w:sz="8" w:space="0" w:color="auto"/>
            </w:tcBorders>
            <w:shd w:val="clear" w:color="auto" w:fill="auto"/>
            <w:noWrap/>
            <w:vAlign w:val="bottom"/>
            <w:hideMark/>
          </w:tcPr>
          <w:p w14:paraId="206D588C" w14:textId="77777777" w:rsidR="00FE690E" w:rsidRPr="00FE690E" w:rsidRDefault="00FE690E" w:rsidP="00FE690E">
            <w:pPr>
              <w:spacing w:after="0"/>
              <w:jc w:val="center"/>
              <w:rPr>
                <w:color w:val="000000"/>
                <w:szCs w:val="22"/>
                <w:lang w:val="en-US"/>
              </w:rPr>
            </w:pPr>
            <w:r w:rsidRPr="00FE690E">
              <w:rPr>
                <w:color w:val="000000"/>
                <w:szCs w:val="22"/>
                <w:lang w:val="en-US"/>
              </w:rPr>
              <w:t>90.4</w:t>
            </w:r>
          </w:p>
        </w:tc>
      </w:tr>
      <w:tr w:rsidR="00FE690E" w:rsidRPr="00FE690E" w14:paraId="757ADC5B" w14:textId="77777777" w:rsidTr="00FE690E">
        <w:trPr>
          <w:trHeight w:val="300"/>
        </w:trPr>
        <w:tc>
          <w:tcPr>
            <w:tcW w:w="990" w:type="dxa"/>
            <w:tcBorders>
              <w:top w:val="nil"/>
              <w:left w:val="single" w:sz="8" w:space="0" w:color="auto"/>
              <w:bottom w:val="single" w:sz="8" w:space="0" w:color="auto"/>
              <w:right w:val="single" w:sz="4" w:space="0" w:color="auto"/>
            </w:tcBorders>
            <w:shd w:val="clear" w:color="auto" w:fill="auto"/>
            <w:noWrap/>
            <w:vAlign w:val="bottom"/>
            <w:hideMark/>
          </w:tcPr>
          <w:p w14:paraId="51183F17" w14:textId="77777777" w:rsidR="00FE690E" w:rsidRPr="00FE690E" w:rsidRDefault="00FE690E" w:rsidP="00FE690E">
            <w:pPr>
              <w:spacing w:after="0"/>
              <w:jc w:val="center"/>
              <w:rPr>
                <w:color w:val="000000"/>
                <w:szCs w:val="22"/>
                <w:lang w:val="en-US"/>
              </w:rPr>
            </w:pPr>
            <w:r w:rsidRPr="00FE690E">
              <w:rPr>
                <w:color w:val="000000"/>
                <w:szCs w:val="22"/>
                <w:lang w:val="en-US"/>
              </w:rPr>
              <w:t>23</w:t>
            </w:r>
          </w:p>
        </w:tc>
        <w:tc>
          <w:tcPr>
            <w:tcW w:w="1170" w:type="dxa"/>
            <w:tcBorders>
              <w:top w:val="nil"/>
              <w:left w:val="nil"/>
              <w:bottom w:val="single" w:sz="8" w:space="0" w:color="auto"/>
              <w:right w:val="single" w:sz="4" w:space="0" w:color="auto"/>
            </w:tcBorders>
            <w:shd w:val="clear" w:color="auto" w:fill="auto"/>
            <w:noWrap/>
            <w:vAlign w:val="bottom"/>
            <w:hideMark/>
          </w:tcPr>
          <w:p w14:paraId="2A39381D" w14:textId="77777777" w:rsidR="00FE690E" w:rsidRPr="00FE690E" w:rsidRDefault="00FE690E" w:rsidP="00FE690E">
            <w:pPr>
              <w:spacing w:after="0"/>
              <w:jc w:val="center"/>
              <w:rPr>
                <w:color w:val="000000"/>
                <w:szCs w:val="22"/>
                <w:lang w:val="en-US"/>
              </w:rPr>
            </w:pPr>
            <w:r w:rsidRPr="00FE690E">
              <w:rPr>
                <w:color w:val="000000"/>
                <w:szCs w:val="22"/>
                <w:lang w:val="en-US"/>
              </w:rPr>
              <w:t>200</w:t>
            </w:r>
          </w:p>
        </w:tc>
        <w:tc>
          <w:tcPr>
            <w:tcW w:w="720" w:type="dxa"/>
            <w:tcBorders>
              <w:top w:val="nil"/>
              <w:left w:val="nil"/>
              <w:bottom w:val="single" w:sz="8" w:space="0" w:color="auto"/>
              <w:right w:val="single" w:sz="4" w:space="0" w:color="auto"/>
            </w:tcBorders>
            <w:shd w:val="clear" w:color="auto" w:fill="auto"/>
            <w:noWrap/>
            <w:vAlign w:val="bottom"/>
            <w:hideMark/>
          </w:tcPr>
          <w:p w14:paraId="702A7372" w14:textId="77777777" w:rsidR="00FE690E" w:rsidRPr="00FE690E" w:rsidRDefault="00FE690E" w:rsidP="00FE690E">
            <w:pPr>
              <w:spacing w:after="0"/>
              <w:jc w:val="center"/>
              <w:rPr>
                <w:color w:val="000000"/>
                <w:szCs w:val="22"/>
                <w:lang w:val="en-US"/>
              </w:rPr>
            </w:pPr>
            <w:r w:rsidRPr="00FE690E">
              <w:rPr>
                <w:color w:val="000000"/>
                <w:szCs w:val="22"/>
                <w:lang w:val="en-US"/>
              </w:rPr>
              <w:t>13</w:t>
            </w:r>
          </w:p>
        </w:tc>
        <w:tc>
          <w:tcPr>
            <w:tcW w:w="1294" w:type="dxa"/>
            <w:tcBorders>
              <w:top w:val="nil"/>
              <w:left w:val="nil"/>
              <w:bottom w:val="single" w:sz="8" w:space="0" w:color="auto"/>
              <w:right w:val="single" w:sz="4" w:space="0" w:color="auto"/>
            </w:tcBorders>
            <w:shd w:val="clear" w:color="auto" w:fill="auto"/>
            <w:noWrap/>
            <w:vAlign w:val="bottom"/>
            <w:hideMark/>
          </w:tcPr>
          <w:p w14:paraId="279BBE1F" w14:textId="77777777" w:rsidR="00FE690E" w:rsidRPr="00FE690E" w:rsidRDefault="00FE690E" w:rsidP="00FE690E">
            <w:pPr>
              <w:spacing w:after="0"/>
              <w:jc w:val="center"/>
              <w:rPr>
                <w:color w:val="000000"/>
                <w:szCs w:val="22"/>
                <w:lang w:val="en-US"/>
              </w:rPr>
            </w:pPr>
            <w:r w:rsidRPr="00FE690E">
              <w:rPr>
                <w:color w:val="000000"/>
                <w:szCs w:val="22"/>
                <w:lang w:val="en-US"/>
              </w:rPr>
              <w:t>-78.0</w:t>
            </w:r>
          </w:p>
        </w:tc>
        <w:tc>
          <w:tcPr>
            <w:tcW w:w="1675" w:type="dxa"/>
            <w:tcBorders>
              <w:top w:val="nil"/>
              <w:left w:val="nil"/>
              <w:bottom w:val="single" w:sz="8" w:space="0" w:color="auto"/>
              <w:right w:val="single" w:sz="4" w:space="0" w:color="auto"/>
            </w:tcBorders>
            <w:shd w:val="clear" w:color="auto" w:fill="auto"/>
            <w:noWrap/>
            <w:vAlign w:val="bottom"/>
            <w:hideMark/>
          </w:tcPr>
          <w:p w14:paraId="1CD97FB5" w14:textId="77777777" w:rsidR="00FE690E" w:rsidRPr="00FE690E" w:rsidRDefault="00FE690E" w:rsidP="00FE690E">
            <w:pPr>
              <w:spacing w:after="0"/>
              <w:jc w:val="center"/>
              <w:rPr>
                <w:color w:val="000000"/>
                <w:szCs w:val="22"/>
                <w:lang w:val="en-US"/>
              </w:rPr>
            </w:pPr>
            <w:r w:rsidRPr="00FE690E">
              <w:rPr>
                <w:color w:val="000000"/>
                <w:szCs w:val="22"/>
                <w:lang w:val="en-US"/>
              </w:rPr>
              <w:t>15</w:t>
            </w:r>
          </w:p>
        </w:tc>
        <w:tc>
          <w:tcPr>
            <w:tcW w:w="1800" w:type="dxa"/>
            <w:tcBorders>
              <w:top w:val="nil"/>
              <w:left w:val="nil"/>
              <w:bottom w:val="single" w:sz="8" w:space="0" w:color="auto"/>
              <w:right w:val="single" w:sz="4" w:space="0" w:color="auto"/>
            </w:tcBorders>
            <w:shd w:val="clear" w:color="auto" w:fill="auto"/>
            <w:noWrap/>
            <w:vAlign w:val="bottom"/>
            <w:hideMark/>
          </w:tcPr>
          <w:p w14:paraId="5F05116D" w14:textId="77777777" w:rsidR="00FE690E" w:rsidRPr="00FE690E" w:rsidRDefault="00FE690E" w:rsidP="00FE690E">
            <w:pPr>
              <w:spacing w:after="0"/>
              <w:jc w:val="center"/>
              <w:rPr>
                <w:color w:val="000000"/>
                <w:szCs w:val="22"/>
                <w:lang w:val="en-US"/>
              </w:rPr>
            </w:pPr>
            <w:r w:rsidRPr="00FE690E">
              <w:rPr>
                <w:color w:val="000000"/>
                <w:szCs w:val="22"/>
                <w:lang w:val="en-US"/>
              </w:rPr>
              <w:t>-63.0</w:t>
            </w:r>
          </w:p>
        </w:tc>
        <w:tc>
          <w:tcPr>
            <w:tcW w:w="905" w:type="dxa"/>
            <w:tcBorders>
              <w:top w:val="nil"/>
              <w:left w:val="nil"/>
              <w:bottom w:val="single" w:sz="8" w:space="0" w:color="auto"/>
              <w:right w:val="single" w:sz="4" w:space="0" w:color="auto"/>
            </w:tcBorders>
            <w:shd w:val="clear" w:color="auto" w:fill="auto"/>
            <w:noWrap/>
            <w:vAlign w:val="bottom"/>
            <w:hideMark/>
          </w:tcPr>
          <w:p w14:paraId="607A7829" w14:textId="77777777" w:rsidR="00FE690E" w:rsidRPr="00FE690E" w:rsidRDefault="00FE690E" w:rsidP="00FE690E">
            <w:pPr>
              <w:spacing w:after="0"/>
              <w:jc w:val="center"/>
              <w:rPr>
                <w:color w:val="000000"/>
                <w:szCs w:val="22"/>
                <w:lang w:val="en-US"/>
              </w:rPr>
            </w:pPr>
            <w:r w:rsidRPr="00FE690E">
              <w:rPr>
                <w:color w:val="000000"/>
                <w:szCs w:val="22"/>
                <w:lang w:val="en-US"/>
              </w:rPr>
              <w:t>1</w:t>
            </w:r>
          </w:p>
        </w:tc>
        <w:tc>
          <w:tcPr>
            <w:tcW w:w="1355" w:type="dxa"/>
            <w:tcBorders>
              <w:top w:val="nil"/>
              <w:left w:val="nil"/>
              <w:bottom w:val="single" w:sz="8" w:space="0" w:color="auto"/>
              <w:right w:val="single" w:sz="8" w:space="0" w:color="auto"/>
            </w:tcBorders>
            <w:shd w:val="clear" w:color="auto" w:fill="auto"/>
            <w:noWrap/>
            <w:vAlign w:val="bottom"/>
            <w:hideMark/>
          </w:tcPr>
          <w:p w14:paraId="55609682" w14:textId="77777777" w:rsidR="00FE690E" w:rsidRPr="00FE690E" w:rsidRDefault="00FE690E" w:rsidP="00FE690E">
            <w:pPr>
              <w:spacing w:after="0"/>
              <w:jc w:val="center"/>
              <w:rPr>
                <w:color w:val="000000"/>
                <w:szCs w:val="22"/>
                <w:lang w:val="en-US"/>
              </w:rPr>
            </w:pPr>
            <w:r w:rsidRPr="00FE690E">
              <w:rPr>
                <w:color w:val="000000"/>
                <w:szCs w:val="22"/>
                <w:lang w:val="en-US"/>
              </w:rPr>
              <w:t>86.0</w:t>
            </w:r>
          </w:p>
        </w:tc>
      </w:tr>
    </w:tbl>
    <w:p w14:paraId="131101F8" w14:textId="77777777" w:rsidR="00FE690E" w:rsidRDefault="00FE690E" w:rsidP="00FE690E">
      <w:pPr>
        <w:jc w:val="both"/>
        <w:rPr>
          <w:lang w:val="en-US"/>
        </w:rPr>
      </w:pPr>
    </w:p>
    <w:p w14:paraId="5151CFFC" w14:textId="62178FBB" w:rsidR="007446C4" w:rsidRDefault="00217E8A" w:rsidP="00406DDB">
      <w:pPr>
        <w:jc w:val="both"/>
        <w:rPr>
          <w:lang w:val="en-US"/>
        </w:rPr>
      </w:pPr>
      <w:r>
        <w:rPr>
          <w:lang w:val="en-US"/>
        </w:rPr>
        <w:t xml:space="preserve">In </w:t>
      </w:r>
      <w:r>
        <w:rPr>
          <w:lang w:val="en-US"/>
        </w:rPr>
        <w:fldChar w:fldCharType="begin"/>
      </w:r>
      <w:r>
        <w:rPr>
          <w:lang w:val="en-US"/>
        </w:rPr>
        <w:instrText xml:space="preserve"> REF _Ref462998067 \h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we show comparison of DL and UL SINR. As it can be observed, the UL </w:t>
      </w:r>
      <w:r w:rsidR="00FC28A3">
        <w:rPr>
          <w:lang w:val="en-US"/>
        </w:rPr>
        <w:t>SINR is capped at around 15dB</w:t>
      </w:r>
      <w:r w:rsidR="000C7712">
        <w:rPr>
          <w:lang w:val="en-US"/>
        </w:rPr>
        <w:t xml:space="preserve">. Another observation is that comparing to the DL SINR, the mean SINR is about 16dB lower. This is due to the difference in Tx Power (43-23=20dB) minus the difference in noise figure (13dB-9dB=4dB). In case of same noise figure the difference would 20dB, i.e. the difference in available Tx Power. The main reason for this is that the Tx power gap is not compensated with lower </w:t>
      </w:r>
      <w:r w:rsidR="00FC28A3">
        <w:rPr>
          <w:lang w:val="en-US"/>
        </w:rPr>
        <w:t xml:space="preserve">frequency </w:t>
      </w:r>
      <w:r w:rsidR="000C7712">
        <w:rPr>
          <w:lang w:val="en-US"/>
        </w:rPr>
        <w:t>allocation, i.e. higher Power Spectral Density (PSD).</w:t>
      </w:r>
    </w:p>
    <w:p w14:paraId="3DE15A69" w14:textId="79F95C75" w:rsidR="00217E8A" w:rsidRDefault="008802FB" w:rsidP="000C7712">
      <w:pPr>
        <w:keepNext/>
        <w:jc w:val="center"/>
      </w:pPr>
      <w:r w:rsidRPr="008802FB">
        <w:rPr>
          <w:noProof/>
          <w:lang w:val="en-US"/>
        </w:rPr>
        <w:drawing>
          <wp:inline distT="0" distB="0" distL="0" distR="0" wp14:anchorId="6465C36A" wp14:editId="62A89F6F">
            <wp:extent cx="5121910" cy="38423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bookmarkStart w:id="1" w:name="_GoBack"/>
      <w:bookmarkEnd w:id="1"/>
    </w:p>
    <w:p w14:paraId="577F5985" w14:textId="0DA8C5DF" w:rsidR="00217E8A" w:rsidRDefault="00217E8A" w:rsidP="000C7712">
      <w:pPr>
        <w:pStyle w:val="Caption"/>
        <w:jc w:val="center"/>
      </w:pPr>
      <w:bookmarkStart w:id="2" w:name="_Ref462998067"/>
      <w:r>
        <w:t xml:space="preserve">Figure </w:t>
      </w:r>
      <w:r>
        <w:fldChar w:fldCharType="begin"/>
      </w:r>
      <w:r>
        <w:instrText xml:space="preserve"> SEQ Figure \* ARABIC </w:instrText>
      </w:r>
      <w:r>
        <w:fldChar w:fldCharType="separate"/>
      </w:r>
      <w:r w:rsidR="00A76035">
        <w:rPr>
          <w:noProof/>
        </w:rPr>
        <w:t>1</w:t>
      </w:r>
      <w:r>
        <w:fldChar w:fldCharType="end"/>
      </w:r>
      <w:bookmarkEnd w:id="2"/>
      <w:r>
        <w:t>. Comparison of DL and UL SINR.</w:t>
      </w:r>
    </w:p>
    <w:p w14:paraId="4BA6437A" w14:textId="3142D0A0" w:rsidR="000C7712" w:rsidRDefault="000C7712" w:rsidP="001E19D4">
      <w:pPr>
        <w:jc w:val="both"/>
        <w:rPr>
          <w:lang w:val="en-US"/>
        </w:rPr>
      </w:pPr>
      <w:r>
        <w:rPr>
          <w:lang w:val="en-US"/>
        </w:rPr>
        <w:lastRenderedPageBreak/>
        <w:t xml:space="preserve">Note that in this scenario, if we keep 200MHz allocation, modifying the </w:t>
      </w:r>
      <w:r w:rsidRPr="000D1498">
        <w:rPr>
          <w:i/>
          <w:lang w:val="en-US"/>
        </w:rPr>
        <w:t>CL</w:t>
      </w:r>
      <w:r w:rsidRPr="000D1498">
        <w:rPr>
          <w:i/>
          <w:vertAlign w:val="subscript"/>
          <w:lang w:val="en-US"/>
        </w:rPr>
        <w:t>xile</w:t>
      </w:r>
      <w:r>
        <w:rPr>
          <w:vertAlign w:val="subscript"/>
          <w:lang w:val="en-US"/>
        </w:rPr>
        <w:t xml:space="preserve"> </w:t>
      </w:r>
      <w:r>
        <w:rPr>
          <w:lang w:val="en-US"/>
        </w:rPr>
        <w:t xml:space="preserve">will only modify the region SINR cap region, as shown </w:t>
      </w:r>
      <w:r>
        <w:rPr>
          <w:lang w:val="en-US"/>
        </w:rPr>
        <w:fldChar w:fldCharType="begin"/>
      </w:r>
      <w:r>
        <w:rPr>
          <w:lang w:val="en-US"/>
        </w:rPr>
        <w:instrText xml:space="preserve"> REF _Ref462999071 \h </w:instrText>
      </w:r>
      <w:r w:rsidR="001E19D4">
        <w:rPr>
          <w:lang w:val="en-US"/>
        </w:rPr>
        <w:instrText xml:space="preserve"> \* MERGEFORMAT </w:instrText>
      </w:r>
      <w:r>
        <w:rPr>
          <w:lang w:val="en-US"/>
        </w:rPr>
      </w:r>
      <w:r>
        <w:rPr>
          <w:lang w:val="en-US"/>
        </w:rPr>
        <w:fldChar w:fldCharType="separate"/>
      </w:r>
      <w:r>
        <w:t xml:space="preserve">Figure </w:t>
      </w:r>
      <w:r>
        <w:rPr>
          <w:noProof/>
        </w:rPr>
        <w:t>2</w:t>
      </w:r>
      <w:r>
        <w:rPr>
          <w:lang w:val="en-US"/>
        </w:rPr>
        <w:fldChar w:fldCharType="end"/>
      </w:r>
      <w:r>
        <w:rPr>
          <w:lang w:val="en-US"/>
        </w:rPr>
        <w:t>.</w:t>
      </w:r>
      <w:r w:rsidR="000D1498">
        <w:rPr>
          <w:lang w:val="en-US"/>
        </w:rPr>
        <w:t xml:space="preserve"> Similarly, </w:t>
      </w:r>
      <w:r w:rsidR="000D1498">
        <w:rPr>
          <w:lang w:val="en-US"/>
        </w:rPr>
        <w:fldChar w:fldCharType="begin"/>
      </w:r>
      <w:r w:rsidR="000D1498">
        <w:rPr>
          <w:lang w:val="en-US"/>
        </w:rPr>
        <w:instrText xml:space="preserve"> REF _Ref462999386 \h </w:instrText>
      </w:r>
      <w:r w:rsidR="001E19D4">
        <w:rPr>
          <w:lang w:val="en-US"/>
        </w:rPr>
        <w:instrText xml:space="preserve"> \* MERGEFORMAT </w:instrText>
      </w:r>
      <w:r w:rsidR="000D1498">
        <w:rPr>
          <w:lang w:val="en-US"/>
        </w:rPr>
      </w:r>
      <w:r w:rsidR="000D1498">
        <w:rPr>
          <w:lang w:val="en-US"/>
        </w:rPr>
        <w:fldChar w:fldCharType="separate"/>
      </w:r>
      <w:r w:rsidR="000D1498">
        <w:t xml:space="preserve">Figure </w:t>
      </w:r>
      <w:r w:rsidR="000D1498">
        <w:rPr>
          <w:noProof/>
        </w:rPr>
        <w:t>3</w:t>
      </w:r>
      <w:r w:rsidR="000D1498">
        <w:rPr>
          <w:lang w:val="en-US"/>
        </w:rPr>
        <w:fldChar w:fldCharType="end"/>
      </w:r>
      <w:r w:rsidR="000D1498">
        <w:rPr>
          <w:lang w:val="en-US"/>
        </w:rPr>
        <w:t xml:space="preserve"> and </w:t>
      </w:r>
      <w:r w:rsidR="000D1498">
        <w:rPr>
          <w:lang w:val="en-US"/>
        </w:rPr>
        <w:fldChar w:fldCharType="begin"/>
      </w:r>
      <w:r w:rsidR="000D1498">
        <w:rPr>
          <w:lang w:val="en-US"/>
        </w:rPr>
        <w:instrText xml:space="preserve"> REF _Ref462999389 \h </w:instrText>
      </w:r>
      <w:r w:rsidR="001E19D4">
        <w:rPr>
          <w:lang w:val="en-US"/>
        </w:rPr>
        <w:instrText xml:space="preserve"> \* MERGEFORMAT </w:instrText>
      </w:r>
      <w:r w:rsidR="000D1498">
        <w:rPr>
          <w:lang w:val="en-US"/>
        </w:rPr>
      </w:r>
      <w:r w:rsidR="000D1498">
        <w:rPr>
          <w:lang w:val="en-US"/>
        </w:rPr>
        <w:fldChar w:fldCharType="separate"/>
      </w:r>
      <w:r w:rsidR="000D1498">
        <w:t xml:space="preserve">Figure </w:t>
      </w:r>
      <w:r w:rsidR="000D1498">
        <w:rPr>
          <w:noProof/>
        </w:rPr>
        <w:t>4</w:t>
      </w:r>
      <w:r w:rsidR="000D1498">
        <w:rPr>
          <w:lang w:val="en-US"/>
        </w:rPr>
        <w:fldChar w:fldCharType="end"/>
      </w:r>
      <w:r w:rsidR="000D1498">
        <w:rPr>
          <w:lang w:val="en-US"/>
        </w:rPr>
        <w:t xml:space="preserve"> show the BS received power and UE transmitted power distributions for different </w:t>
      </w:r>
      <w:r w:rsidR="000D1498" w:rsidRPr="000D1498">
        <w:rPr>
          <w:i/>
          <w:lang w:val="en-US"/>
        </w:rPr>
        <w:t>CL</w:t>
      </w:r>
      <w:r w:rsidR="000D1498" w:rsidRPr="000D1498">
        <w:rPr>
          <w:i/>
          <w:vertAlign w:val="subscript"/>
          <w:lang w:val="en-US"/>
        </w:rPr>
        <w:t>xile</w:t>
      </w:r>
      <w:r w:rsidR="000D1498">
        <w:rPr>
          <w:i/>
          <w:vertAlign w:val="subscript"/>
          <w:lang w:val="en-US"/>
        </w:rPr>
        <w:t xml:space="preserve"> </w:t>
      </w:r>
      <w:r w:rsidR="000D1498" w:rsidRPr="000D1498">
        <w:rPr>
          <w:lang w:val="en-US"/>
        </w:rPr>
        <w:t>values</w:t>
      </w:r>
      <w:r w:rsidR="000D1498">
        <w:rPr>
          <w:lang w:val="en-US"/>
        </w:rPr>
        <w:t>.</w:t>
      </w:r>
    </w:p>
    <w:p w14:paraId="147533C8" w14:textId="77777777" w:rsidR="000C7712" w:rsidRDefault="000C7712" w:rsidP="000C7712">
      <w:pPr>
        <w:keepNext/>
        <w:jc w:val="center"/>
      </w:pPr>
      <w:r w:rsidRPr="000C7712">
        <w:rPr>
          <w:noProof/>
          <w:lang w:val="en-US"/>
        </w:rPr>
        <w:drawing>
          <wp:inline distT="0" distB="0" distL="0" distR="0" wp14:anchorId="096A50B9" wp14:editId="75F9BBE5">
            <wp:extent cx="5121910" cy="38423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137EE2E6" w14:textId="7CC2BFAD" w:rsidR="000C7712" w:rsidRPr="000C7712" w:rsidRDefault="000C7712" w:rsidP="000C7712">
      <w:pPr>
        <w:pStyle w:val="Caption"/>
        <w:jc w:val="center"/>
      </w:pPr>
      <w:bookmarkStart w:id="3" w:name="_Ref462999071"/>
      <w:r>
        <w:t xml:space="preserve">Figure </w:t>
      </w:r>
      <w:r>
        <w:fldChar w:fldCharType="begin"/>
      </w:r>
      <w:r>
        <w:instrText xml:space="preserve"> SEQ Figure \* ARABIC </w:instrText>
      </w:r>
      <w:r>
        <w:fldChar w:fldCharType="separate"/>
      </w:r>
      <w:r w:rsidR="00A76035">
        <w:rPr>
          <w:noProof/>
        </w:rPr>
        <w:t>2</w:t>
      </w:r>
      <w:r>
        <w:fldChar w:fldCharType="end"/>
      </w:r>
      <w:bookmarkEnd w:id="3"/>
      <w:r>
        <w:t xml:space="preserve">. UL SINR: comparison of different </w:t>
      </w:r>
      <w:r w:rsidRPr="000C7712">
        <w:rPr>
          <w:i/>
        </w:rPr>
        <w:t>CL</w:t>
      </w:r>
      <w:r w:rsidRPr="000C7712">
        <w:rPr>
          <w:i/>
          <w:vertAlign w:val="subscript"/>
        </w:rPr>
        <w:t>xile</w:t>
      </w:r>
      <w:r>
        <w:rPr>
          <w:i/>
        </w:rPr>
        <w:t xml:space="preserve"> </w:t>
      </w:r>
      <w:r>
        <w:t>values.</w:t>
      </w:r>
    </w:p>
    <w:p w14:paraId="3A881EF0" w14:textId="77777777" w:rsidR="000C7712" w:rsidRDefault="000C7712" w:rsidP="000C7712">
      <w:pPr>
        <w:rPr>
          <w:lang w:val="en-US"/>
        </w:rPr>
      </w:pPr>
    </w:p>
    <w:p w14:paraId="3954D056" w14:textId="77777777" w:rsidR="000C7712" w:rsidRDefault="000C7712" w:rsidP="000C7712">
      <w:pPr>
        <w:keepNext/>
        <w:jc w:val="center"/>
      </w:pPr>
      <w:r w:rsidRPr="000C7712">
        <w:rPr>
          <w:noProof/>
          <w:lang w:val="en-US"/>
        </w:rPr>
        <w:lastRenderedPageBreak/>
        <w:drawing>
          <wp:inline distT="0" distB="0" distL="0" distR="0" wp14:anchorId="7714CE8B" wp14:editId="475506E9">
            <wp:extent cx="5121910" cy="3842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5E0E09BB" w14:textId="7B6C95D7" w:rsidR="000C7712" w:rsidRDefault="000C7712" w:rsidP="000C7712">
      <w:pPr>
        <w:pStyle w:val="Caption"/>
        <w:jc w:val="center"/>
      </w:pPr>
      <w:bookmarkStart w:id="4" w:name="_Ref462999386"/>
      <w:r>
        <w:t xml:space="preserve">Figure </w:t>
      </w:r>
      <w:r>
        <w:fldChar w:fldCharType="begin"/>
      </w:r>
      <w:r>
        <w:instrText xml:space="preserve"> SEQ Figure \* ARABIC </w:instrText>
      </w:r>
      <w:r>
        <w:fldChar w:fldCharType="separate"/>
      </w:r>
      <w:r w:rsidR="00A76035">
        <w:rPr>
          <w:noProof/>
        </w:rPr>
        <w:t>3</w:t>
      </w:r>
      <w:r>
        <w:fldChar w:fldCharType="end"/>
      </w:r>
      <w:bookmarkEnd w:id="4"/>
      <w:r>
        <w:t xml:space="preserve">. BS received power for different </w:t>
      </w:r>
      <w:r w:rsidRPr="000C7712">
        <w:rPr>
          <w:i/>
        </w:rPr>
        <w:t>CL</w:t>
      </w:r>
      <w:r w:rsidRPr="000C7712">
        <w:rPr>
          <w:i/>
          <w:vertAlign w:val="subscript"/>
        </w:rPr>
        <w:t>xile</w:t>
      </w:r>
      <w:r>
        <w:rPr>
          <w:i/>
        </w:rPr>
        <w:t xml:space="preserve"> </w:t>
      </w:r>
      <w:r>
        <w:t>values.</w:t>
      </w:r>
    </w:p>
    <w:p w14:paraId="4F0455A9" w14:textId="77777777" w:rsidR="000C7712" w:rsidRDefault="000C7712" w:rsidP="000C7712">
      <w:pPr>
        <w:keepNext/>
        <w:jc w:val="center"/>
      </w:pPr>
      <w:r w:rsidRPr="000C7712">
        <w:rPr>
          <w:noProof/>
          <w:lang w:val="en-US"/>
        </w:rPr>
        <w:drawing>
          <wp:inline distT="0" distB="0" distL="0" distR="0" wp14:anchorId="2FFD74DE" wp14:editId="2DC8E1FF">
            <wp:extent cx="5121910" cy="3842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5645393F" w14:textId="5507B810" w:rsidR="000C7712" w:rsidRDefault="000C7712" w:rsidP="000C7712">
      <w:pPr>
        <w:pStyle w:val="Caption"/>
        <w:jc w:val="center"/>
      </w:pPr>
      <w:bookmarkStart w:id="5" w:name="_Ref462999389"/>
      <w:r>
        <w:t xml:space="preserve">Figure </w:t>
      </w:r>
      <w:r>
        <w:fldChar w:fldCharType="begin"/>
      </w:r>
      <w:r>
        <w:instrText xml:space="preserve"> SEQ Figure \* ARABIC </w:instrText>
      </w:r>
      <w:r>
        <w:fldChar w:fldCharType="separate"/>
      </w:r>
      <w:r w:rsidR="00A76035">
        <w:rPr>
          <w:noProof/>
        </w:rPr>
        <w:t>4</w:t>
      </w:r>
      <w:r>
        <w:fldChar w:fldCharType="end"/>
      </w:r>
      <w:bookmarkEnd w:id="5"/>
      <w:r>
        <w:t xml:space="preserve">. UE </w:t>
      </w:r>
      <w:r w:rsidR="00A76035">
        <w:t>transmitted</w:t>
      </w:r>
      <w:r>
        <w:t xml:space="preserve"> power for different </w:t>
      </w:r>
      <w:r w:rsidRPr="000C7712">
        <w:rPr>
          <w:i/>
        </w:rPr>
        <w:t>CL</w:t>
      </w:r>
      <w:r w:rsidRPr="000C7712">
        <w:rPr>
          <w:i/>
          <w:vertAlign w:val="subscript"/>
        </w:rPr>
        <w:t>xile</w:t>
      </w:r>
      <w:r>
        <w:rPr>
          <w:i/>
        </w:rPr>
        <w:t xml:space="preserve"> </w:t>
      </w:r>
      <w:r>
        <w:t>values.</w:t>
      </w:r>
    </w:p>
    <w:p w14:paraId="0FBD48C0" w14:textId="7E5EDA8D" w:rsidR="000C7712" w:rsidRDefault="003F0A53" w:rsidP="00A76035">
      <w:pPr>
        <w:pStyle w:val="Caption"/>
        <w:jc w:val="both"/>
        <w:rPr>
          <w:b w:val="0"/>
          <w:lang w:val="en-US"/>
        </w:rPr>
      </w:pPr>
      <w:r w:rsidRPr="003F0A53">
        <w:rPr>
          <w:b w:val="0"/>
          <w:lang w:val="en-US"/>
        </w:rPr>
        <w:t>From</w:t>
      </w:r>
      <w:r w:rsidR="00A76035">
        <w:rPr>
          <w:b w:val="0"/>
          <w:lang w:val="en-US"/>
        </w:rPr>
        <w:t xml:space="preserve"> the scenario, shrinking the cell size would bring a substantial benefit in UL SINR. This can be observed in </w:t>
      </w:r>
      <w:r w:rsidR="00A76035" w:rsidRPr="00A76035">
        <w:rPr>
          <w:b w:val="0"/>
          <w:lang w:val="en-US"/>
        </w:rPr>
        <w:fldChar w:fldCharType="begin"/>
      </w:r>
      <w:r w:rsidR="00A76035" w:rsidRPr="00A76035">
        <w:rPr>
          <w:b w:val="0"/>
          <w:lang w:val="en-US"/>
        </w:rPr>
        <w:instrText xml:space="preserve"> REF _Ref463000989 \h  \* MERGEFORMAT </w:instrText>
      </w:r>
      <w:r w:rsidR="00A76035" w:rsidRPr="00A76035">
        <w:rPr>
          <w:b w:val="0"/>
          <w:lang w:val="en-US"/>
        </w:rPr>
      </w:r>
      <w:r w:rsidR="00A76035" w:rsidRPr="00A76035">
        <w:rPr>
          <w:b w:val="0"/>
          <w:lang w:val="en-US"/>
        </w:rPr>
        <w:fldChar w:fldCharType="separate"/>
      </w:r>
      <w:r w:rsidR="00A76035" w:rsidRPr="00A76035">
        <w:rPr>
          <w:b w:val="0"/>
        </w:rPr>
        <w:t xml:space="preserve">Figure </w:t>
      </w:r>
      <w:r w:rsidR="00A76035" w:rsidRPr="00A76035">
        <w:rPr>
          <w:b w:val="0"/>
          <w:noProof/>
        </w:rPr>
        <w:t>5</w:t>
      </w:r>
      <w:r w:rsidR="00A76035" w:rsidRPr="00A76035">
        <w:rPr>
          <w:b w:val="0"/>
          <w:lang w:val="en-US"/>
        </w:rPr>
        <w:fldChar w:fldCharType="end"/>
      </w:r>
      <w:r w:rsidR="00A76035">
        <w:rPr>
          <w:b w:val="0"/>
          <w:lang w:val="en-US"/>
        </w:rPr>
        <w:t xml:space="preserve"> where ISD = 500m and ISD =200m</w:t>
      </w:r>
      <w:r w:rsidR="001E19D4">
        <w:rPr>
          <w:b w:val="0"/>
          <w:lang w:val="en-US"/>
        </w:rPr>
        <w:t xml:space="preserve"> are considered</w:t>
      </w:r>
      <w:r w:rsidR="00A76035">
        <w:rPr>
          <w:b w:val="0"/>
          <w:lang w:val="en-US"/>
        </w:rPr>
        <w:t xml:space="preserve">. A cell size of 200m would bring more than 12dB higher median throughput. </w:t>
      </w:r>
    </w:p>
    <w:p w14:paraId="14342586" w14:textId="77777777" w:rsidR="00A76035" w:rsidRDefault="00A76035" w:rsidP="00A76035">
      <w:pPr>
        <w:rPr>
          <w:lang w:val="en-US"/>
        </w:rPr>
      </w:pPr>
    </w:p>
    <w:p w14:paraId="443A26CB" w14:textId="77777777" w:rsidR="00A76035" w:rsidRDefault="00A76035" w:rsidP="00A76035">
      <w:pPr>
        <w:keepNext/>
        <w:jc w:val="center"/>
      </w:pPr>
      <w:r w:rsidRPr="00A76035">
        <w:rPr>
          <w:noProof/>
          <w:lang w:val="en-US"/>
        </w:rPr>
        <w:lastRenderedPageBreak/>
        <w:drawing>
          <wp:inline distT="0" distB="0" distL="0" distR="0" wp14:anchorId="07751A40" wp14:editId="2E5A8BAD">
            <wp:extent cx="5121910" cy="38423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2F904B37" w14:textId="7E57D8D5" w:rsidR="00A76035" w:rsidRDefault="00A76035" w:rsidP="00A76035">
      <w:pPr>
        <w:pStyle w:val="Caption"/>
        <w:jc w:val="center"/>
      </w:pPr>
      <w:bookmarkStart w:id="6" w:name="_Ref463000989"/>
      <w:r>
        <w:t xml:space="preserve">Figure </w:t>
      </w:r>
      <w:r>
        <w:fldChar w:fldCharType="begin"/>
      </w:r>
      <w:r>
        <w:instrText xml:space="preserve"> SEQ Figure \* ARABIC </w:instrText>
      </w:r>
      <w:r>
        <w:fldChar w:fldCharType="separate"/>
      </w:r>
      <w:r>
        <w:rPr>
          <w:noProof/>
        </w:rPr>
        <w:t>5</w:t>
      </w:r>
      <w:r>
        <w:fldChar w:fldCharType="end"/>
      </w:r>
      <w:bookmarkEnd w:id="6"/>
      <w:r>
        <w:t>. UL SINR distribution for different cell sizes.</w:t>
      </w:r>
    </w:p>
    <w:p w14:paraId="529A2226" w14:textId="7CCA5C84" w:rsidR="00A76035" w:rsidRPr="00DA408F" w:rsidRDefault="00A76035" w:rsidP="00DA408F">
      <w:pPr>
        <w:jc w:val="both"/>
      </w:pPr>
      <w:r>
        <w:t>As mentioned, using lower allocation would allow to increase the PSD of the wanted signal, thus leading to higher SINR. I</w:t>
      </w:r>
      <w:r w:rsidR="00DA408F">
        <w:t xml:space="preserve">n </w:t>
      </w:r>
      <w:r w:rsidR="00DA408F">
        <w:fldChar w:fldCharType="begin"/>
      </w:r>
      <w:r w:rsidR="00DA408F">
        <w:instrText xml:space="preserve"> REF _Ref463005608 \h  \* MERGEFORMAT </w:instrText>
      </w:r>
      <w:r w:rsidR="00DA408F">
        <w:fldChar w:fldCharType="separate"/>
      </w:r>
      <w:r w:rsidR="00DA408F">
        <w:t xml:space="preserve">Table </w:t>
      </w:r>
      <w:r w:rsidR="00DA408F">
        <w:rPr>
          <w:noProof/>
        </w:rPr>
        <w:t>2</w:t>
      </w:r>
      <w:r w:rsidR="00DA408F">
        <w:fldChar w:fldCharType="end"/>
      </w:r>
      <w:r w:rsidR="00DA408F">
        <w:t xml:space="preserve"> we computed </w:t>
      </w:r>
      <w:r w:rsidR="00DA408F" w:rsidRPr="00DA408F">
        <w:rPr>
          <w:bCs/>
          <w:i/>
          <w:color w:val="000000"/>
          <w:szCs w:val="22"/>
          <w:lang w:val="en-US"/>
        </w:rPr>
        <w:t>CL</w:t>
      </w:r>
      <w:r w:rsidR="00DA408F" w:rsidRPr="00FE690E">
        <w:rPr>
          <w:bCs/>
          <w:color w:val="000000"/>
          <w:szCs w:val="22"/>
          <w:vertAlign w:val="subscript"/>
          <w:lang w:val="en-US"/>
        </w:rPr>
        <w:t>xile</w:t>
      </w:r>
      <w:r w:rsidR="00DA408F">
        <w:rPr>
          <w:bCs/>
          <w:color w:val="000000"/>
          <w:szCs w:val="22"/>
          <w:vertAlign w:val="subscript"/>
          <w:lang w:val="en-US"/>
        </w:rPr>
        <w:t xml:space="preserve"> </w:t>
      </w:r>
      <w:r w:rsidR="00DA408F">
        <w:rPr>
          <w:bCs/>
          <w:color w:val="000000"/>
          <w:szCs w:val="22"/>
          <w:lang w:val="en-US"/>
        </w:rPr>
        <w:t xml:space="preserve">considering different UL allocation, </w:t>
      </w:r>
      <w:r w:rsidR="001E19D4">
        <w:rPr>
          <w:bCs/>
          <w:color w:val="000000"/>
          <w:szCs w:val="22"/>
          <w:lang w:val="en-US"/>
        </w:rPr>
        <w:t>that is</w:t>
      </w:r>
      <w:r w:rsidR="00DA408F">
        <w:rPr>
          <w:bCs/>
          <w:color w:val="000000"/>
          <w:szCs w:val="22"/>
          <w:lang w:val="en-US"/>
        </w:rPr>
        <w:t xml:space="preserve"> from 2MHz to 200MHz. The orange highlighted rows correspond to the case of 9dB Noise Figure at the base station.</w:t>
      </w:r>
      <w:r w:rsidR="00406DDB">
        <w:rPr>
          <w:bCs/>
          <w:color w:val="000000"/>
          <w:szCs w:val="22"/>
          <w:lang w:val="en-US"/>
        </w:rPr>
        <w:t xml:space="preserve"> For those configuration, the UL SINR and UE Tx power distributions are depicted in </w:t>
      </w:r>
      <w:r w:rsidR="00406DDB">
        <w:rPr>
          <w:bCs/>
          <w:color w:val="000000"/>
          <w:szCs w:val="22"/>
          <w:lang w:val="en-US"/>
        </w:rPr>
        <w:fldChar w:fldCharType="begin"/>
      </w:r>
      <w:r w:rsidR="00406DDB">
        <w:rPr>
          <w:bCs/>
          <w:color w:val="000000"/>
          <w:szCs w:val="22"/>
          <w:lang w:val="en-US"/>
        </w:rPr>
        <w:instrText xml:space="preserve"> REF _Ref463005823 \h </w:instrText>
      </w:r>
      <w:r w:rsidR="00406DDB">
        <w:rPr>
          <w:bCs/>
          <w:color w:val="000000"/>
          <w:szCs w:val="22"/>
          <w:lang w:val="en-US"/>
        </w:rPr>
      </w:r>
      <w:r w:rsidR="00406DDB">
        <w:rPr>
          <w:bCs/>
          <w:color w:val="000000"/>
          <w:szCs w:val="22"/>
          <w:lang w:val="en-US"/>
        </w:rPr>
        <w:fldChar w:fldCharType="separate"/>
      </w:r>
      <w:r w:rsidR="00406DDB">
        <w:t xml:space="preserve">Figure </w:t>
      </w:r>
      <w:r w:rsidR="00406DDB">
        <w:rPr>
          <w:noProof/>
        </w:rPr>
        <w:t>6</w:t>
      </w:r>
      <w:r w:rsidR="00406DDB">
        <w:rPr>
          <w:bCs/>
          <w:color w:val="000000"/>
          <w:szCs w:val="22"/>
          <w:lang w:val="en-US"/>
        </w:rPr>
        <w:fldChar w:fldCharType="end"/>
      </w:r>
      <w:r w:rsidR="00406DDB">
        <w:rPr>
          <w:bCs/>
          <w:color w:val="000000"/>
          <w:szCs w:val="22"/>
          <w:lang w:val="en-US"/>
        </w:rPr>
        <w:t xml:space="preserve"> and </w:t>
      </w:r>
      <w:r w:rsidR="00406DDB">
        <w:rPr>
          <w:bCs/>
          <w:color w:val="000000"/>
          <w:szCs w:val="22"/>
          <w:lang w:val="en-US"/>
        </w:rPr>
        <w:fldChar w:fldCharType="begin"/>
      </w:r>
      <w:r w:rsidR="00406DDB">
        <w:rPr>
          <w:bCs/>
          <w:color w:val="000000"/>
          <w:szCs w:val="22"/>
          <w:lang w:val="en-US"/>
        </w:rPr>
        <w:instrText xml:space="preserve"> REF _Ref463005825 \h </w:instrText>
      </w:r>
      <w:r w:rsidR="00406DDB">
        <w:rPr>
          <w:bCs/>
          <w:color w:val="000000"/>
          <w:szCs w:val="22"/>
          <w:lang w:val="en-US"/>
        </w:rPr>
      </w:r>
      <w:r w:rsidR="00406DDB">
        <w:rPr>
          <w:bCs/>
          <w:color w:val="000000"/>
          <w:szCs w:val="22"/>
          <w:lang w:val="en-US"/>
        </w:rPr>
        <w:fldChar w:fldCharType="separate"/>
      </w:r>
      <w:r w:rsidR="00406DDB">
        <w:t xml:space="preserve">Figure </w:t>
      </w:r>
      <w:r w:rsidR="00406DDB">
        <w:rPr>
          <w:noProof/>
        </w:rPr>
        <w:t>7</w:t>
      </w:r>
      <w:r w:rsidR="00406DDB">
        <w:rPr>
          <w:bCs/>
          <w:color w:val="000000"/>
          <w:szCs w:val="22"/>
          <w:lang w:val="en-US"/>
        </w:rPr>
        <w:fldChar w:fldCharType="end"/>
      </w:r>
      <w:r w:rsidR="00406DDB">
        <w:rPr>
          <w:bCs/>
          <w:color w:val="000000"/>
          <w:szCs w:val="22"/>
          <w:lang w:val="en-US"/>
        </w:rPr>
        <w:t>, respectively. As it can be observed the median throughput gain is directly related to the gain in PSD. However, in the scenario under analysis even for very small allocation, e.g. 2MHz UL transmission, high percentage of UE</w:t>
      </w:r>
      <w:r w:rsidR="001E19D4">
        <w:rPr>
          <w:bCs/>
          <w:color w:val="000000"/>
          <w:szCs w:val="22"/>
          <w:lang w:val="en-US"/>
        </w:rPr>
        <w:t>s</w:t>
      </w:r>
      <w:r w:rsidR="00406DDB">
        <w:rPr>
          <w:bCs/>
          <w:color w:val="000000"/>
          <w:szCs w:val="22"/>
          <w:lang w:val="en-US"/>
        </w:rPr>
        <w:t xml:space="preserve"> will perceive very low throughput.</w:t>
      </w:r>
    </w:p>
    <w:p w14:paraId="59F2B7F1" w14:textId="62061DBE" w:rsidR="00647987" w:rsidRPr="007446C4" w:rsidRDefault="00647987" w:rsidP="00647987">
      <w:pPr>
        <w:pStyle w:val="Caption"/>
        <w:keepNext/>
        <w:jc w:val="center"/>
      </w:pPr>
      <w:bookmarkStart w:id="7" w:name="_Ref463005608"/>
      <w:bookmarkStart w:id="8" w:name="_Ref463005603"/>
      <w:r>
        <w:t xml:space="preserve">Table </w:t>
      </w:r>
      <w:r>
        <w:fldChar w:fldCharType="begin"/>
      </w:r>
      <w:r>
        <w:instrText xml:space="preserve"> SEQ Table \* ARABIC </w:instrText>
      </w:r>
      <w:r>
        <w:fldChar w:fldCharType="separate"/>
      </w:r>
      <w:r>
        <w:rPr>
          <w:noProof/>
        </w:rPr>
        <w:t>2</w:t>
      </w:r>
      <w:r>
        <w:fldChar w:fldCharType="end"/>
      </w:r>
      <w:bookmarkEnd w:id="7"/>
      <w:r>
        <w:t xml:space="preserve">. </w:t>
      </w:r>
      <w:r w:rsidRPr="007446C4">
        <w:rPr>
          <w:b w:val="0"/>
          <w:bCs/>
          <w:i/>
          <w:color w:val="000000"/>
          <w:szCs w:val="22"/>
          <w:lang w:val="en-US"/>
        </w:rPr>
        <w:t>CL</w:t>
      </w:r>
      <w:r w:rsidRPr="00FE690E">
        <w:rPr>
          <w:bCs/>
          <w:color w:val="000000"/>
          <w:szCs w:val="22"/>
          <w:vertAlign w:val="subscript"/>
          <w:lang w:val="en-US"/>
        </w:rPr>
        <w:t>xile</w:t>
      </w:r>
      <w:r>
        <w:rPr>
          <w:bCs/>
          <w:color w:val="000000"/>
          <w:szCs w:val="22"/>
          <w:vertAlign w:val="subscript"/>
          <w:lang w:val="en-US"/>
        </w:rPr>
        <w:t xml:space="preserve"> </w:t>
      </w:r>
      <w:r>
        <w:rPr>
          <w:bCs/>
          <w:color w:val="000000"/>
          <w:szCs w:val="22"/>
          <w:lang w:val="en-US"/>
        </w:rPr>
        <w:t xml:space="preserve">for different </w:t>
      </w:r>
      <w:r w:rsidR="00895FD4">
        <w:rPr>
          <w:bCs/>
          <w:color w:val="000000"/>
          <w:szCs w:val="22"/>
          <w:lang w:val="en-US"/>
        </w:rPr>
        <w:t>UL allocation</w:t>
      </w:r>
      <w:r>
        <w:rPr>
          <w:bCs/>
          <w:color w:val="000000"/>
          <w:szCs w:val="22"/>
          <w:lang w:val="en-US"/>
        </w:rPr>
        <w:t xml:space="preserve"> and noise figure configuration.</w:t>
      </w:r>
      <w:bookmarkEnd w:id="8"/>
    </w:p>
    <w:tbl>
      <w:tblPr>
        <w:tblW w:w="9611" w:type="dxa"/>
        <w:jc w:val="center"/>
        <w:tblLook w:val="04A0" w:firstRow="1" w:lastRow="0" w:firstColumn="1" w:lastColumn="0" w:noHBand="0" w:noVBand="1"/>
      </w:tblPr>
      <w:tblGrid>
        <w:gridCol w:w="1423"/>
        <w:gridCol w:w="1434"/>
        <w:gridCol w:w="601"/>
        <w:gridCol w:w="1415"/>
        <w:gridCol w:w="1264"/>
        <w:gridCol w:w="1212"/>
        <w:gridCol w:w="932"/>
        <w:gridCol w:w="1330"/>
      </w:tblGrid>
      <w:tr w:rsidR="00A76035" w:rsidRPr="00A76035" w14:paraId="56EF83F7" w14:textId="77777777" w:rsidTr="00647987">
        <w:trPr>
          <w:trHeight w:val="300"/>
          <w:jc w:val="center"/>
        </w:trPr>
        <w:tc>
          <w:tcPr>
            <w:tcW w:w="1423" w:type="dxa"/>
            <w:tcBorders>
              <w:top w:val="single" w:sz="8" w:space="0" w:color="auto"/>
              <w:left w:val="single" w:sz="8" w:space="0" w:color="auto"/>
              <w:bottom w:val="nil"/>
              <w:right w:val="single" w:sz="4" w:space="0" w:color="auto"/>
            </w:tcBorders>
            <w:shd w:val="clear" w:color="auto" w:fill="auto"/>
            <w:noWrap/>
            <w:vAlign w:val="center"/>
            <w:hideMark/>
          </w:tcPr>
          <w:p w14:paraId="12230C79"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Pc Max [dBm]</w:t>
            </w:r>
          </w:p>
        </w:tc>
        <w:tc>
          <w:tcPr>
            <w:tcW w:w="1434" w:type="dxa"/>
            <w:tcBorders>
              <w:top w:val="single" w:sz="8" w:space="0" w:color="auto"/>
              <w:left w:val="nil"/>
              <w:bottom w:val="nil"/>
              <w:right w:val="single" w:sz="4" w:space="0" w:color="auto"/>
            </w:tcBorders>
            <w:shd w:val="clear" w:color="auto" w:fill="auto"/>
            <w:noWrap/>
            <w:vAlign w:val="center"/>
            <w:hideMark/>
          </w:tcPr>
          <w:p w14:paraId="65A22657" w14:textId="1F50EF1C" w:rsidR="00A76035" w:rsidRPr="00A76035" w:rsidRDefault="00A76035" w:rsidP="00A76035">
            <w:pPr>
              <w:spacing w:after="0"/>
              <w:jc w:val="center"/>
              <w:rPr>
                <w:rFonts w:ascii="Calibri" w:hAnsi="Calibri"/>
                <w:b/>
                <w:bCs/>
                <w:color w:val="000000"/>
                <w:sz w:val="22"/>
                <w:szCs w:val="22"/>
                <w:lang w:val="en-US"/>
              </w:rPr>
            </w:pPr>
            <w:r>
              <w:rPr>
                <w:rFonts w:ascii="Calibri" w:hAnsi="Calibri"/>
                <w:b/>
                <w:bCs/>
                <w:color w:val="000000"/>
                <w:sz w:val="22"/>
                <w:szCs w:val="22"/>
                <w:lang w:val="en-US"/>
              </w:rPr>
              <w:t>UL allo</w:t>
            </w:r>
            <w:r w:rsidRPr="00A76035">
              <w:rPr>
                <w:rFonts w:ascii="Calibri" w:hAnsi="Calibri"/>
                <w:b/>
                <w:bCs/>
                <w:color w:val="000000"/>
                <w:sz w:val="22"/>
                <w:szCs w:val="22"/>
                <w:lang w:val="en-US"/>
              </w:rPr>
              <w:t>cation [MHz]</w:t>
            </w:r>
          </w:p>
        </w:tc>
        <w:tc>
          <w:tcPr>
            <w:tcW w:w="601" w:type="dxa"/>
            <w:tcBorders>
              <w:top w:val="single" w:sz="8" w:space="0" w:color="auto"/>
              <w:left w:val="nil"/>
              <w:bottom w:val="nil"/>
              <w:right w:val="single" w:sz="4" w:space="0" w:color="auto"/>
            </w:tcBorders>
            <w:shd w:val="clear" w:color="auto" w:fill="auto"/>
            <w:noWrap/>
            <w:vAlign w:val="center"/>
            <w:hideMark/>
          </w:tcPr>
          <w:p w14:paraId="18A5D424"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NF [dB]</w:t>
            </w:r>
          </w:p>
        </w:tc>
        <w:tc>
          <w:tcPr>
            <w:tcW w:w="1415" w:type="dxa"/>
            <w:tcBorders>
              <w:top w:val="single" w:sz="8" w:space="0" w:color="auto"/>
              <w:left w:val="nil"/>
              <w:bottom w:val="nil"/>
              <w:right w:val="single" w:sz="4" w:space="0" w:color="auto"/>
            </w:tcBorders>
            <w:shd w:val="clear" w:color="auto" w:fill="auto"/>
            <w:noWrap/>
            <w:vAlign w:val="center"/>
            <w:hideMark/>
          </w:tcPr>
          <w:p w14:paraId="2CC81836"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Thermal Noise [dBm]</w:t>
            </w:r>
          </w:p>
        </w:tc>
        <w:tc>
          <w:tcPr>
            <w:tcW w:w="1264" w:type="dxa"/>
            <w:tcBorders>
              <w:top w:val="single" w:sz="8" w:space="0" w:color="auto"/>
              <w:left w:val="nil"/>
              <w:bottom w:val="nil"/>
              <w:right w:val="single" w:sz="4" w:space="0" w:color="auto"/>
            </w:tcBorders>
            <w:shd w:val="clear" w:color="auto" w:fill="auto"/>
            <w:noWrap/>
            <w:vAlign w:val="center"/>
            <w:hideMark/>
          </w:tcPr>
          <w:p w14:paraId="13558CC3"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SINR target [dB]</w:t>
            </w:r>
          </w:p>
        </w:tc>
        <w:tc>
          <w:tcPr>
            <w:tcW w:w="1212" w:type="dxa"/>
            <w:tcBorders>
              <w:top w:val="single" w:sz="8" w:space="0" w:color="auto"/>
              <w:left w:val="nil"/>
              <w:bottom w:val="nil"/>
              <w:right w:val="single" w:sz="4" w:space="0" w:color="auto"/>
            </w:tcBorders>
            <w:shd w:val="clear" w:color="auto" w:fill="auto"/>
            <w:noWrap/>
            <w:vAlign w:val="center"/>
            <w:hideMark/>
          </w:tcPr>
          <w:p w14:paraId="5405D0B5"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PO_PUSCH [dBm]</w:t>
            </w:r>
          </w:p>
        </w:tc>
        <w:tc>
          <w:tcPr>
            <w:tcW w:w="932" w:type="dxa"/>
            <w:tcBorders>
              <w:top w:val="single" w:sz="8" w:space="0" w:color="auto"/>
              <w:left w:val="nil"/>
              <w:bottom w:val="nil"/>
              <w:right w:val="single" w:sz="4" w:space="0" w:color="auto"/>
            </w:tcBorders>
            <w:shd w:val="clear" w:color="auto" w:fill="auto"/>
            <w:noWrap/>
            <w:vAlign w:val="center"/>
            <w:hideMark/>
          </w:tcPr>
          <w:p w14:paraId="7E248E9C"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Gamma</w:t>
            </w:r>
          </w:p>
        </w:tc>
        <w:tc>
          <w:tcPr>
            <w:tcW w:w="1330" w:type="dxa"/>
            <w:tcBorders>
              <w:top w:val="single" w:sz="8" w:space="0" w:color="auto"/>
              <w:left w:val="nil"/>
              <w:bottom w:val="nil"/>
              <w:right w:val="single" w:sz="8" w:space="0" w:color="auto"/>
            </w:tcBorders>
            <w:shd w:val="clear" w:color="auto" w:fill="auto"/>
            <w:noWrap/>
            <w:vAlign w:val="center"/>
            <w:hideMark/>
          </w:tcPr>
          <w:p w14:paraId="5B7FF539" w14:textId="77777777" w:rsidR="00A76035" w:rsidRPr="00A76035" w:rsidRDefault="00A76035" w:rsidP="00A76035">
            <w:pPr>
              <w:spacing w:after="0"/>
              <w:jc w:val="center"/>
              <w:rPr>
                <w:rFonts w:ascii="Calibri" w:hAnsi="Calibri"/>
                <w:b/>
                <w:bCs/>
                <w:color w:val="000000"/>
                <w:sz w:val="22"/>
                <w:szCs w:val="22"/>
                <w:lang w:val="en-US"/>
              </w:rPr>
            </w:pPr>
            <w:r w:rsidRPr="00A76035">
              <w:rPr>
                <w:rFonts w:ascii="Calibri" w:hAnsi="Calibri"/>
                <w:b/>
                <w:bCs/>
                <w:color w:val="000000"/>
                <w:sz w:val="22"/>
                <w:szCs w:val="22"/>
                <w:lang w:val="en-US"/>
              </w:rPr>
              <w:t>CL-xile [dB]</w:t>
            </w:r>
          </w:p>
        </w:tc>
      </w:tr>
      <w:tr w:rsidR="00A76035" w:rsidRPr="00A76035" w14:paraId="55E8530D" w14:textId="77777777" w:rsidTr="00647987">
        <w:trPr>
          <w:trHeight w:val="288"/>
          <w:jc w:val="center"/>
        </w:trPr>
        <w:tc>
          <w:tcPr>
            <w:tcW w:w="1423" w:type="dxa"/>
            <w:tcBorders>
              <w:top w:val="single" w:sz="8" w:space="0" w:color="auto"/>
              <w:left w:val="single" w:sz="8" w:space="0" w:color="auto"/>
              <w:bottom w:val="single" w:sz="4" w:space="0" w:color="auto"/>
              <w:right w:val="single" w:sz="4" w:space="0" w:color="auto"/>
            </w:tcBorders>
            <w:shd w:val="clear" w:color="000000" w:fill="FFC000"/>
            <w:noWrap/>
            <w:vAlign w:val="bottom"/>
            <w:hideMark/>
          </w:tcPr>
          <w:p w14:paraId="3DA68906"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single" w:sz="8" w:space="0" w:color="auto"/>
              <w:left w:val="nil"/>
              <w:bottom w:val="single" w:sz="4" w:space="0" w:color="auto"/>
              <w:right w:val="single" w:sz="4" w:space="0" w:color="auto"/>
            </w:tcBorders>
            <w:shd w:val="clear" w:color="000000" w:fill="FFC000"/>
            <w:noWrap/>
            <w:vAlign w:val="bottom"/>
            <w:hideMark/>
          </w:tcPr>
          <w:p w14:paraId="38E39368"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w:t>
            </w:r>
          </w:p>
        </w:tc>
        <w:tc>
          <w:tcPr>
            <w:tcW w:w="601" w:type="dxa"/>
            <w:tcBorders>
              <w:top w:val="single" w:sz="8" w:space="0" w:color="auto"/>
              <w:left w:val="nil"/>
              <w:bottom w:val="single" w:sz="4" w:space="0" w:color="auto"/>
              <w:right w:val="single" w:sz="4" w:space="0" w:color="auto"/>
            </w:tcBorders>
            <w:shd w:val="clear" w:color="000000" w:fill="FFC000"/>
            <w:noWrap/>
            <w:vAlign w:val="bottom"/>
            <w:hideMark/>
          </w:tcPr>
          <w:p w14:paraId="0D9AC9A9"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w:t>
            </w:r>
          </w:p>
        </w:tc>
        <w:tc>
          <w:tcPr>
            <w:tcW w:w="1415" w:type="dxa"/>
            <w:tcBorders>
              <w:top w:val="single" w:sz="8" w:space="0" w:color="auto"/>
              <w:left w:val="nil"/>
              <w:bottom w:val="single" w:sz="4" w:space="0" w:color="auto"/>
              <w:right w:val="single" w:sz="4" w:space="0" w:color="auto"/>
            </w:tcBorders>
            <w:shd w:val="clear" w:color="000000" w:fill="FFC000"/>
            <w:noWrap/>
            <w:vAlign w:val="bottom"/>
            <w:hideMark/>
          </w:tcPr>
          <w:p w14:paraId="063719D0"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-102.0</w:t>
            </w:r>
          </w:p>
        </w:tc>
        <w:tc>
          <w:tcPr>
            <w:tcW w:w="1264" w:type="dxa"/>
            <w:tcBorders>
              <w:top w:val="single" w:sz="8" w:space="0" w:color="auto"/>
              <w:left w:val="nil"/>
              <w:bottom w:val="single" w:sz="4" w:space="0" w:color="auto"/>
              <w:right w:val="single" w:sz="4" w:space="0" w:color="auto"/>
            </w:tcBorders>
            <w:shd w:val="clear" w:color="000000" w:fill="FFC000"/>
            <w:noWrap/>
            <w:vAlign w:val="bottom"/>
            <w:hideMark/>
          </w:tcPr>
          <w:p w14:paraId="0AE5E3A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single" w:sz="8" w:space="0" w:color="auto"/>
              <w:left w:val="nil"/>
              <w:bottom w:val="single" w:sz="4" w:space="0" w:color="auto"/>
              <w:right w:val="single" w:sz="4" w:space="0" w:color="auto"/>
            </w:tcBorders>
            <w:shd w:val="clear" w:color="000000" w:fill="FFC000"/>
            <w:noWrap/>
            <w:vAlign w:val="bottom"/>
            <w:hideMark/>
          </w:tcPr>
          <w:p w14:paraId="305A71A1"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-87.0</w:t>
            </w:r>
          </w:p>
        </w:tc>
        <w:tc>
          <w:tcPr>
            <w:tcW w:w="932" w:type="dxa"/>
            <w:tcBorders>
              <w:top w:val="single" w:sz="8" w:space="0" w:color="auto"/>
              <w:left w:val="nil"/>
              <w:bottom w:val="single" w:sz="4" w:space="0" w:color="auto"/>
              <w:right w:val="single" w:sz="4" w:space="0" w:color="auto"/>
            </w:tcBorders>
            <w:shd w:val="clear" w:color="000000" w:fill="FFC000"/>
            <w:noWrap/>
            <w:vAlign w:val="bottom"/>
            <w:hideMark/>
          </w:tcPr>
          <w:p w14:paraId="18C5F4A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single" w:sz="8" w:space="0" w:color="auto"/>
              <w:left w:val="nil"/>
              <w:bottom w:val="single" w:sz="4" w:space="0" w:color="auto"/>
              <w:right w:val="single" w:sz="8" w:space="0" w:color="auto"/>
            </w:tcBorders>
            <w:shd w:val="clear" w:color="000000" w:fill="FFC000"/>
            <w:noWrap/>
            <w:vAlign w:val="bottom"/>
            <w:hideMark/>
          </w:tcPr>
          <w:p w14:paraId="7D48336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110.0</w:t>
            </w:r>
          </w:p>
        </w:tc>
      </w:tr>
      <w:tr w:rsidR="00A76035" w:rsidRPr="00A76035" w14:paraId="2315867E"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4CC6FDC0"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auto" w:fill="auto"/>
            <w:noWrap/>
            <w:vAlign w:val="bottom"/>
            <w:hideMark/>
          </w:tcPr>
          <w:p w14:paraId="09019B66"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w:t>
            </w:r>
          </w:p>
        </w:tc>
        <w:tc>
          <w:tcPr>
            <w:tcW w:w="601" w:type="dxa"/>
            <w:tcBorders>
              <w:top w:val="nil"/>
              <w:left w:val="nil"/>
              <w:bottom w:val="single" w:sz="4" w:space="0" w:color="auto"/>
              <w:right w:val="single" w:sz="4" w:space="0" w:color="auto"/>
            </w:tcBorders>
            <w:shd w:val="clear" w:color="auto" w:fill="auto"/>
            <w:noWrap/>
            <w:vAlign w:val="bottom"/>
            <w:hideMark/>
          </w:tcPr>
          <w:p w14:paraId="1DB35A1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13</w:t>
            </w:r>
          </w:p>
        </w:tc>
        <w:tc>
          <w:tcPr>
            <w:tcW w:w="1415" w:type="dxa"/>
            <w:tcBorders>
              <w:top w:val="nil"/>
              <w:left w:val="nil"/>
              <w:bottom w:val="single" w:sz="4" w:space="0" w:color="auto"/>
              <w:right w:val="single" w:sz="4" w:space="0" w:color="auto"/>
            </w:tcBorders>
            <w:shd w:val="clear" w:color="auto" w:fill="auto"/>
            <w:noWrap/>
            <w:vAlign w:val="bottom"/>
            <w:hideMark/>
          </w:tcPr>
          <w:p w14:paraId="049318FE"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-98.0</w:t>
            </w:r>
          </w:p>
        </w:tc>
        <w:tc>
          <w:tcPr>
            <w:tcW w:w="1264" w:type="dxa"/>
            <w:tcBorders>
              <w:top w:val="nil"/>
              <w:left w:val="nil"/>
              <w:bottom w:val="single" w:sz="4" w:space="0" w:color="auto"/>
              <w:right w:val="single" w:sz="4" w:space="0" w:color="auto"/>
            </w:tcBorders>
            <w:shd w:val="clear" w:color="auto" w:fill="auto"/>
            <w:noWrap/>
            <w:vAlign w:val="bottom"/>
            <w:hideMark/>
          </w:tcPr>
          <w:p w14:paraId="1A32817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auto" w:fill="auto"/>
            <w:noWrap/>
            <w:vAlign w:val="bottom"/>
            <w:hideMark/>
          </w:tcPr>
          <w:p w14:paraId="1E9CBC98"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-83.0</w:t>
            </w:r>
          </w:p>
        </w:tc>
        <w:tc>
          <w:tcPr>
            <w:tcW w:w="932" w:type="dxa"/>
            <w:tcBorders>
              <w:top w:val="nil"/>
              <w:left w:val="nil"/>
              <w:bottom w:val="single" w:sz="4" w:space="0" w:color="auto"/>
              <w:right w:val="single" w:sz="4" w:space="0" w:color="auto"/>
            </w:tcBorders>
            <w:shd w:val="clear" w:color="auto" w:fill="auto"/>
            <w:noWrap/>
            <w:vAlign w:val="bottom"/>
            <w:hideMark/>
          </w:tcPr>
          <w:p w14:paraId="7DFBE650"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auto" w:fill="auto"/>
            <w:noWrap/>
            <w:vAlign w:val="bottom"/>
            <w:hideMark/>
          </w:tcPr>
          <w:p w14:paraId="43BF75C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106.0</w:t>
            </w:r>
          </w:p>
        </w:tc>
      </w:tr>
      <w:tr w:rsidR="00A76035" w:rsidRPr="00A76035" w14:paraId="2E30B7A6"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000000" w:fill="FFC000"/>
            <w:noWrap/>
            <w:vAlign w:val="bottom"/>
            <w:hideMark/>
          </w:tcPr>
          <w:p w14:paraId="0BD562A6"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000000" w:fill="FFC000"/>
            <w:noWrap/>
            <w:vAlign w:val="bottom"/>
            <w:hideMark/>
          </w:tcPr>
          <w:p w14:paraId="143629BD"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20</w:t>
            </w:r>
          </w:p>
        </w:tc>
        <w:tc>
          <w:tcPr>
            <w:tcW w:w="601" w:type="dxa"/>
            <w:tcBorders>
              <w:top w:val="nil"/>
              <w:left w:val="nil"/>
              <w:bottom w:val="single" w:sz="4" w:space="0" w:color="auto"/>
              <w:right w:val="single" w:sz="4" w:space="0" w:color="auto"/>
            </w:tcBorders>
            <w:shd w:val="clear" w:color="000000" w:fill="FFC000"/>
            <w:noWrap/>
            <w:vAlign w:val="bottom"/>
            <w:hideMark/>
          </w:tcPr>
          <w:p w14:paraId="7CEBEA4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w:t>
            </w:r>
          </w:p>
        </w:tc>
        <w:tc>
          <w:tcPr>
            <w:tcW w:w="1415" w:type="dxa"/>
            <w:tcBorders>
              <w:top w:val="nil"/>
              <w:left w:val="nil"/>
              <w:bottom w:val="single" w:sz="4" w:space="0" w:color="auto"/>
              <w:right w:val="single" w:sz="4" w:space="0" w:color="auto"/>
            </w:tcBorders>
            <w:shd w:val="clear" w:color="000000" w:fill="FFC000"/>
            <w:noWrap/>
            <w:vAlign w:val="bottom"/>
            <w:hideMark/>
          </w:tcPr>
          <w:p w14:paraId="0188D0D0"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-92.0</w:t>
            </w:r>
          </w:p>
        </w:tc>
        <w:tc>
          <w:tcPr>
            <w:tcW w:w="1264" w:type="dxa"/>
            <w:tcBorders>
              <w:top w:val="nil"/>
              <w:left w:val="nil"/>
              <w:bottom w:val="single" w:sz="4" w:space="0" w:color="auto"/>
              <w:right w:val="single" w:sz="4" w:space="0" w:color="auto"/>
            </w:tcBorders>
            <w:shd w:val="clear" w:color="000000" w:fill="FFC000"/>
            <w:noWrap/>
            <w:vAlign w:val="bottom"/>
            <w:hideMark/>
          </w:tcPr>
          <w:p w14:paraId="78BF75A1"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000000" w:fill="FFC000"/>
            <w:noWrap/>
            <w:vAlign w:val="bottom"/>
            <w:hideMark/>
          </w:tcPr>
          <w:p w14:paraId="641098E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-77.0</w:t>
            </w:r>
          </w:p>
        </w:tc>
        <w:tc>
          <w:tcPr>
            <w:tcW w:w="932" w:type="dxa"/>
            <w:tcBorders>
              <w:top w:val="nil"/>
              <w:left w:val="nil"/>
              <w:bottom w:val="single" w:sz="4" w:space="0" w:color="auto"/>
              <w:right w:val="single" w:sz="4" w:space="0" w:color="auto"/>
            </w:tcBorders>
            <w:shd w:val="clear" w:color="000000" w:fill="FFC000"/>
            <w:noWrap/>
            <w:vAlign w:val="bottom"/>
            <w:hideMark/>
          </w:tcPr>
          <w:p w14:paraId="6BC78FA4"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000000" w:fill="FFC000"/>
            <w:noWrap/>
            <w:vAlign w:val="bottom"/>
            <w:hideMark/>
          </w:tcPr>
          <w:p w14:paraId="61DE74B9"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100.0</w:t>
            </w:r>
          </w:p>
        </w:tc>
      </w:tr>
      <w:tr w:rsidR="00A76035" w:rsidRPr="00A76035" w14:paraId="19F9396B"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1E021800"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auto" w:fill="auto"/>
            <w:noWrap/>
            <w:vAlign w:val="bottom"/>
            <w:hideMark/>
          </w:tcPr>
          <w:p w14:paraId="515F706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20</w:t>
            </w:r>
          </w:p>
        </w:tc>
        <w:tc>
          <w:tcPr>
            <w:tcW w:w="601" w:type="dxa"/>
            <w:tcBorders>
              <w:top w:val="nil"/>
              <w:left w:val="nil"/>
              <w:bottom w:val="single" w:sz="4" w:space="0" w:color="auto"/>
              <w:right w:val="single" w:sz="4" w:space="0" w:color="auto"/>
            </w:tcBorders>
            <w:shd w:val="clear" w:color="auto" w:fill="auto"/>
            <w:noWrap/>
            <w:vAlign w:val="bottom"/>
            <w:hideMark/>
          </w:tcPr>
          <w:p w14:paraId="5568B075"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13</w:t>
            </w:r>
          </w:p>
        </w:tc>
        <w:tc>
          <w:tcPr>
            <w:tcW w:w="1415" w:type="dxa"/>
            <w:tcBorders>
              <w:top w:val="nil"/>
              <w:left w:val="nil"/>
              <w:bottom w:val="single" w:sz="4" w:space="0" w:color="auto"/>
              <w:right w:val="single" w:sz="4" w:space="0" w:color="auto"/>
            </w:tcBorders>
            <w:shd w:val="clear" w:color="auto" w:fill="auto"/>
            <w:noWrap/>
            <w:vAlign w:val="bottom"/>
            <w:hideMark/>
          </w:tcPr>
          <w:p w14:paraId="2C464E7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-88.0</w:t>
            </w:r>
          </w:p>
        </w:tc>
        <w:tc>
          <w:tcPr>
            <w:tcW w:w="1264" w:type="dxa"/>
            <w:tcBorders>
              <w:top w:val="nil"/>
              <w:left w:val="nil"/>
              <w:bottom w:val="single" w:sz="4" w:space="0" w:color="auto"/>
              <w:right w:val="single" w:sz="4" w:space="0" w:color="auto"/>
            </w:tcBorders>
            <w:shd w:val="clear" w:color="auto" w:fill="auto"/>
            <w:noWrap/>
            <w:vAlign w:val="bottom"/>
            <w:hideMark/>
          </w:tcPr>
          <w:p w14:paraId="203C525E"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auto" w:fill="auto"/>
            <w:noWrap/>
            <w:vAlign w:val="bottom"/>
            <w:hideMark/>
          </w:tcPr>
          <w:p w14:paraId="4530A9A7"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-73.0</w:t>
            </w:r>
          </w:p>
        </w:tc>
        <w:tc>
          <w:tcPr>
            <w:tcW w:w="932" w:type="dxa"/>
            <w:tcBorders>
              <w:top w:val="nil"/>
              <w:left w:val="nil"/>
              <w:bottom w:val="single" w:sz="4" w:space="0" w:color="auto"/>
              <w:right w:val="single" w:sz="4" w:space="0" w:color="auto"/>
            </w:tcBorders>
            <w:shd w:val="clear" w:color="auto" w:fill="auto"/>
            <w:noWrap/>
            <w:vAlign w:val="bottom"/>
            <w:hideMark/>
          </w:tcPr>
          <w:p w14:paraId="76E94CC6"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auto" w:fill="auto"/>
            <w:noWrap/>
            <w:vAlign w:val="bottom"/>
            <w:hideMark/>
          </w:tcPr>
          <w:p w14:paraId="6F33315A"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96.0</w:t>
            </w:r>
          </w:p>
        </w:tc>
      </w:tr>
      <w:tr w:rsidR="00A76035" w:rsidRPr="00A76035" w14:paraId="7796070E"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000000" w:fill="FFC000"/>
            <w:noWrap/>
            <w:vAlign w:val="bottom"/>
            <w:hideMark/>
          </w:tcPr>
          <w:p w14:paraId="091C6AC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000000" w:fill="FFC000"/>
            <w:noWrap/>
            <w:vAlign w:val="bottom"/>
            <w:hideMark/>
          </w:tcPr>
          <w:p w14:paraId="2238406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40</w:t>
            </w:r>
          </w:p>
        </w:tc>
        <w:tc>
          <w:tcPr>
            <w:tcW w:w="601" w:type="dxa"/>
            <w:tcBorders>
              <w:top w:val="nil"/>
              <w:left w:val="nil"/>
              <w:bottom w:val="single" w:sz="4" w:space="0" w:color="auto"/>
              <w:right w:val="single" w:sz="4" w:space="0" w:color="auto"/>
            </w:tcBorders>
            <w:shd w:val="clear" w:color="000000" w:fill="FFC000"/>
            <w:noWrap/>
            <w:vAlign w:val="bottom"/>
            <w:hideMark/>
          </w:tcPr>
          <w:p w14:paraId="630ADA5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w:t>
            </w:r>
          </w:p>
        </w:tc>
        <w:tc>
          <w:tcPr>
            <w:tcW w:w="1415" w:type="dxa"/>
            <w:tcBorders>
              <w:top w:val="nil"/>
              <w:left w:val="nil"/>
              <w:bottom w:val="single" w:sz="4" w:space="0" w:color="auto"/>
              <w:right w:val="single" w:sz="4" w:space="0" w:color="auto"/>
            </w:tcBorders>
            <w:shd w:val="clear" w:color="000000" w:fill="FFC000"/>
            <w:noWrap/>
            <w:vAlign w:val="bottom"/>
            <w:hideMark/>
          </w:tcPr>
          <w:p w14:paraId="3268687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-89.0</w:t>
            </w:r>
          </w:p>
        </w:tc>
        <w:tc>
          <w:tcPr>
            <w:tcW w:w="1264" w:type="dxa"/>
            <w:tcBorders>
              <w:top w:val="nil"/>
              <w:left w:val="nil"/>
              <w:bottom w:val="single" w:sz="4" w:space="0" w:color="auto"/>
              <w:right w:val="single" w:sz="4" w:space="0" w:color="auto"/>
            </w:tcBorders>
            <w:shd w:val="clear" w:color="000000" w:fill="FFC000"/>
            <w:noWrap/>
            <w:vAlign w:val="bottom"/>
            <w:hideMark/>
          </w:tcPr>
          <w:p w14:paraId="6A7D9EE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000000" w:fill="FFC000"/>
            <w:noWrap/>
            <w:vAlign w:val="bottom"/>
            <w:hideMark/>
          </w:tcPr>
          <w:p w14:paraId="704540A1"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-74.0</w:t>
            </w:r>
          </w:p>
        </w:tc>
        <w:tc>
          <w:tcPr>
            <w:tcW w:w="932" w:type="dxa"/>
            <w:tcBorders>
              <w:top w:val="nil"/>
              <w:left w:val="nil"/>
              <w:bottom w:val="single" w:sz="4" w:space="0" w:color="auto"/>
              <w:right w:val="single" w:sz="4" w:space="0" w:color="auto"/>
            </w:tcBorders>
            <w:shd w:val="clear" w:color="000000" w:fill="FFC000"/>
            <w:noWrap/>
            <w:vAlign w:val="bottom"/>
            <w:hideMark/>
          </w:tcPr>
          <w:p w14:paraId="2BCD5C59"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000000" w:fill="FFC000"/>
            <w:noWrap/>
            <w:vAlign w:val="bottom"/>
            <w:hideMark/>
          </w:tcPr>
          <w:p w14:paraId="005C7F8D"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97.0</w:t>
            </w:r>
          </w:p>
        </w:tc>
      </w:tr>
      <w:tr w:rsidR="00A76035" w:rsidRPr="00A76035" w14:paraId="1F761497"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5199A530"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auto" w:fill="auto"/>
            <w:noWrap/>
            <w:vAlign w:val="bottom"/>
            <w:hideMark/>
          </w:tcPr>
          <w:p w14:paraId="0E630978"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40</w:t>
            </w:r>
          </w:p>
        </w:tc>
        <w:tc>
          <w:tcPr>
            <w:tcW w:w="601" w:type="dxa"/>
            <w:tcBorders>
              <w:top w:val="nil"/>
              <w:left w:val="nil"/>
              <w:bottom w:val="single" w:sz="4" w:space="0" w:color="auto"/>
              <w:right w:val="single" w:sz="4" w:space="0" w:color="auto"/>
            </w:tcBorders>
            <w:shd w:val="clear" w:color="auto" w:fill="auto"/>
            <w:noWrap/>
            <w:vAlign w:val="bottom"/>
            <w:hideMark/>
          </w:tcPr>
          <w:p w14:paraId="086EEAB5"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13</w:t>
            </w:r>
          </w:p>
        </w:tc>
        <w:tc>
          <w:tcPr>
            <w:tcW w:w="1415" w:type="dxa"/>
            <w:tcBorders>
              <w:top w:val="nil"/>
              <w:left w:val="nil"/>
              <w:bottom w:val="single" w:sz="4" w:space="0" w:color="auto"/>
              <w:right w:val="single" w:sz="4" w:space="0" w:color="auto"/>
            </w:tcBorders>
            <w:shd w:val="clear" w:color="auto" w:fill="auto"/>
            <w:noWrap/>
            <w:vAlign w:val="bottom"/>
            <w:hideMark/>
          </w:tcPr>
          <w:p w14:paraId="222ED861"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-85.0</w:t>
            </w:r>
          </w:p>
        </w:tc>
        <w:tc>
          <w:tcPr>
            <w:tcW w:w="1264" w:type="dxa"/>
            <w:tcBorders>
              <w:top w:val="nil"/>
              <w:left w:val="nil"/>
              <w:bottom w:val="single" w:sz="4" w:space="0" w:color="auto"/>
              <w:right w:val="single" w:sz="4" w:space="0" w:color="auto"/>
            </w:tcBorders>
            <w:shd w:val="clear" w:color="auto" w:fill="auto"/>
            <w:noWrap/>
            <w:vAlign w:val="bottom"/>
            <w:hideMark/>
          </w:tcPr>
          <w:p w14:paraId="7A2FC4A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auto" w:fill="auto"/>
            <w:noWrap/>
            <w:vAlign w:val="bottom"/>
            <w:hideMark/>
          </w:tcPr>
          <w:p w14:paraId="1598E69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-70.0</w:t>
            </w:r>
          </w:p>
        </w:tc>
        <w:tc>
          <w:tcPr>
            <w:tcW w:w="932" w:type="dxa"/>
            <w:tcBorders>
              <w:top w:val="nil"/>
              <w:left w:val="nil"/>
              <w:bottom w:val="single" w:sz="4" w:space="0" w:color="auto"/>
              <w:right w:val="single" w:sz="4" w:space="0" w:color="auto"/>
            </w:tcBorders>
            <w:shd w:val="clear" w:color="auto" w:fill="auto"/>
            <w:noWrap/>
            <w:vAlign w:val="bottom"/>
            <w:hideMark/>
          </w:tcPr>
          <w:p w14:paraId="25D3A658"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auto" w:fill="auto"/>
            <w:noWrap/>
            <w:vAlign w:val="bottom"/>
            <w:hideMark/>
          </w:tcPr>
          <w:p w14:paraId="43A1563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93.0</w:t>
            </w:r>
          </w:p>
        </w:tc>
      </w:tr>
      <w:tr w:rsidR="00A76035" w:rsidRPr="00A76035" w14:paraId="17BDC4E5"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000000" w:fill="FFC000"/>
            <w:noWrap/>
            <w:vAlign w:val="bottom"/>
            <w:hideMark/>
          </w:tcPr>
          <w:p w14:paraId="1000A1B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000000" w:fill="FFC000"/>
            <w:noWrap/>
            <w:vAlign w:val="bottom"/>
            <w:hideMark/>
          </w:tcPr>
          <w:p w14:paraId="03481664"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80</w:t>
            </w:r>
          </w:p>
        </w:tc>
        <w:tc>
          <w:tcPr>
            <w:tcW w:w="601" w:type="dxa"/>
            <w:tcBorders>
              <w:top w:val="nil"/>
              <w:left w:val="nil"/>
              <w:bottom w:val="single" w:sz="4" w:space="0" w:color="auto"/>
              <w:right w:val="single" w:sz="4" w:space="0" w:color="auto"/>
            </w:tcBorders>
            <w:shd w:val="clear" w:color="000000" w:fill="FFC000"/>
            <w:noWrap/>
            <w:vAlign w:val="bottom"/>
            <w:hideMark/>
          </w:tcPr>
          <w:p w14:paraId="7F8F9CF1"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w:t>
            </w:r>
          </w:p>
        </w:tc>
        <w:tc>
          <w:tcPr>
            <w:tcW w:w="1415" w:type="dxa"/>
            <w:tcBorders>
              <w:top w:val="nil"/>
              <w:left w:val="nil"/>
              <w:bottom w:val="single" w:sz="4" w:space="0" w:color="auto"/>
              <w:right w:val="single" w:sz="4" w:space="0" w:color="auto"/>
            </w:tcBorders>
            <w:shd w:val="clear" w:color="000000" w:fill="FFC000"/>
            <w:noWrap/>
            <w:vAlign w:val="bottom"/>
            <w:hideMark/>
          </w:tcPr>
          <w:p w14:paraId="4384C69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-86.0</w:t>
            </w:r>
          </w:p>
        </w:tc>
        <w:tc>
          <w:tcPr>
            <w:tcW w:w="1264" w:type="dxa"/>
            <w:tcBorders>
              <w:top w:val="nil"/>
              <w:left w:val="nil"/>
              <w:bottom w:val="single" w:sz="4" w:space="0" w:color="auto"/>
              <w:right w:val="single" w:sz="4" w:space="0" w:color="auto"/>
            </w:tcBorders>
            <w:shd w:val="clear" w:color="000000" w:fill="FFC000"/>
            <w:noWrap/>
            <w:vAlign w:val="bottom"/>
            <w:hideMark/>
          </w:tcPr>
          <w:p w14:paraId="57C41F38"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000000" w:fill="FFC000"/>
            <w:noWrap/>
            <w:vAlign w:val="bottom"/>
            <w:hideMark/>
          </w:tcPr>
          <w:p w14:paraId="19EE8B4D"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-71.0</w:t>
            </w:r>
          </w:p>
        </w:tc>
        <w:tc>
          <w:tcPr>
            <w:tcW w:w="932" w:type="dxa"/>
            <w:tcBorders>
              <w:top w:val="nil"/>
              <w:left w:val="nil"/>
              <w:bottom w:val="single" w:sz="4" w:space="0" w:color="auto"/>
              <w:right w:val="single" w:sz="4" w:space="0" w:color="auto"/>
            </w:tcBorders>
            <w:shd w:val="clear" w:color="000000" w:fill="FFC000"/>
            <w:noWrap/>
            <w:vAlign w:val="bottom"/>
            <w:hideMark/>
          </w:tcPr>
          <w:p w14:paraId="6F62C849"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000000" w:fill="FFC000"/>
            <w:noWrap/>
            <w:vAlign w:val="bottom"/>
            <w:hideMark/>
          </w:tcPr>
          <w:p w14:paraId="3BAA8504"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94.0</w:t>
            </w:r>
          </w:p>
        </w:tc>
      </w:tr>
      <w:tr w:rsidR="00A76035" w:rsidRPr="00A76035" w14:paraId="4ED8C440"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auto" w:fill="auto"/>
            <w:noWrap/>
            <w:vAlign w:val="bottom"/>
            <w:hideMark/>
          </w:tcPr>
          <w:p w14:paraId="663741E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auto" w:fill="auto"/>
            <w:noWrap/>
            <w:vAlign w:val="bottom"/>
            <w:hideMark/>
          </w:tcPr>
          <w:p w14:paraId="70E759E2"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80</w:t>
            </w:r>
          </w:p>
        </w:tc>
        <w:tc>
          <w:tcPr>
            <w:tcW w:w="601" w:type="dxa"/>
            <w:tcBorders>
              <w:top w:val="nil"/>
              <w:left w:val="nil"/>
              <w:bottom w:val="single" w:sz="4" w:space="0" w:color="auto"/>
              <w:right w:val="single" w:sz="4" w:space="0" w:color="auto"/>
            </w:tcBorders>
            <w:shd w:val="clear" w:color="auto" w:fill="auto"/>
            <w:noWrap/>
            <w:vAlign w:val="bottom"/>
            <w:hideMark/>
          </w:tcPr>
          <w:p w14:paraId="76702AA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13</w:t>
            </w:r>
          </w:p>
        </w:tc>
        <w:tc>
          <w:tcPr>
            <w:tcW w:w="1415" w:type="dxa"/>
            <w:tcBorders>
              <w:top w:val="nil"/>
              <w:left w:val="nil"/>
              <w:bottom w:val="single" w:sz="4" w:space="0" w:color="auto"/>
              <w:right w:val="single" w:sz="4" w:space="0" w:color="auto"/>
            </w:tcBorders>
            <w:shd w:val="clear" w:color="auto" w:fill="auto"/>
            <w:noWrap/>
            <w:vAlign w:val="bottom"/>
            <w:hideMark/>
          </w:tcPr>
          <w:p w14:paraId="482277E1"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-82.0</w:t>
            </w:r>
          </w:p>
        </w:tc>
        <w:tc>
          <w:tcPr>
            <w:tcW w:w="1264" w:type="dxa"/>
            <w:tcBorders>
              <w:top w:val="nil"/>
              <w:left w:val="nil"/>
              <w:bottom w:val="single" w:sz="4" w:space="0" w:color="auto"/>
              <w:right w:val="single" w:sz="4" w:space="0" w:color="auto"/>
            </w:tcBorders>
            <w:shd w:val="clear" w:color="auto" w:fill="auto"/>
            <w:noWrap/>
            <w:vAlign w:val="bottom"/>
            <w:hideMark/>
          </w:tcPr>
          <w:p w14:paraId="6D5DD9C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auto" w:fill="auto"/>
            <w:noWrap/>
            <w:vAlign w:val="bottom"/>
            <w:hideMark/>
          </w:tcPr>
          <w:p w14:paraId="447804AD"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-67.0</w:t>
            </w:r>
          </w:p>
        </w:tc>
        <w:tc>
          <w:tcPr>
            <w:tcW w:w="932" w:type="dxa"/>
            <w:tcBorders>
              <w:top w:val="nil"/>
              <w:left w:val="nil"/>
              <w:bottom w:val="single" w:sz="4" w:space="0" w:color="auto"/>
              <w:right w:val="single" w:sz="4" w:space="0" w:color="auto"/>
            </w:tcBorders>
            <w:shd w:val="clear" w:color="auto" w:fill="auto"/>
            <w:noWrap/>
            <w:vAlign w:val="bottom"/>
            <w:hideMark/>
          </w:tcPr>
          <w:p w14:paraId="4B583DF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auto" w:fill="auto"/>
            <w:noWrap/>
            <w:vAlign w:val="bottom"/>
            <w:hideMark/>
          </w:tcPr>
          <w:p w14:paraId="134EBDE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90.0</w:t>
            </w:r>
          </w:p>
        </w:tc>
      </w:tr>
      <w:tr w:rsidR="00A76035" w:rsidRPr="00A76035" w14:paraId="1A7C332E" w14:textId="77777777" w:rsidTr="00647987">
        <w:trPr>
          <w:trHeight w:val="288"/>
          <w:jc w:val="center"/>
        </w:trPr>
        <w:tc>
          <w:tcPr>
            <w:tcW w:w="1423" w:type="dxa"/>
            <w:tcBorders>
              <w:top w:val="nil"/>
              <w:left w:val="single" w:sz="8" w:space="0" w:color="auto"/>
              <w:bottom w:val="single" w:sz="4" w:space="0" w:color="auto"/>
              <w:right w:val="single" w:sz="4" w:space="0" w:color="auto"/>
            </w:tcBorders>
            <w:shd w:val="clear" w:color="000000" w:fill="FFC000"/>
            <w:noWrap/>
            <w:vAlign w:val="bottom"/>
            <w:hideMark/>
          </w:tcPr>
          <w:p w14:paraId="6CEDA9F5"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4" w:space="0" w:color="auto"/>
              <w:right w:val="single" w:sz="4" w:space="0" w:color="auto"/>
            </w:tcBorders>
            <w:shd w:val="clear" w:color="000000" w:fill="FFC000"/>
            <w:noWrap/>
            <w:vAlign w:val="bottom"/>
            <w:hideMark/>
          </w:tcPr>
          <w:p w14:paraId="749E0C9E"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180</w:t>
            </w:r>
          </w:p>
        </w:tc>
        <w:tc>
          <w:tcPr>
            <w:tcW w:w="601" w:type="dxa"/>
            <w:tcBorders>
              <w:top w:val="nil"/>
              <w:left w:val="nil"/>
              <w:bottom w:val="single" w:sz="4" w:space="0" w:color="auto"/>
              <w:right w:val="single" w:sz="4" w:space="0" w:color="auto"/>
            </w:tcBorders>
            <w:shd w:val="clear" w:color="000000" w:fill="FFC000"/>
            <w:noWrap/>
            <w:vAlign w:val="bottom"/>
            <w:hideMark/>
          </w:tcPr>
          <w:p w14:paraId="6E5709E6"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w:t>
            </w:r>
          </w:p>
        </w:tc>
        <w:tc>
          <w:tcPr>
            <w:tcW w:w="1415" w:type="dxa"/>
            <w:tcBorders>
              <w:top w:val="nil"/>
              <w:left w:val="nil"/>
              <w:bottom w:val="single" w:sz="4" w:space="0" w:color="auto"/>
              <w:right w:val="single" w:sz="4" w:space="0" w:color="auto"/>
            </w:tcBorders>
            <w:shd w:val="clear" w:color="000000" w:fill="FFC000"/>
            <w:noWrap/>
            <w:vAlign w:val="bottom"/>
            <w:hideMark/>
          </w:tcPr>
          <w:p w14:paraId="1C23AA2D"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-82.4</w:t>
            </w:r>
          </w:p>
        </w:tc>
        <w:tc>
          <w:tcPr>
            <w:tcW w:w="1264" w:type="dxa"/>
            <w:tcBorders>
              <w:top w:val="nil"/>
              <w:left w:val="nil"/>
              <w:bottom w:val="single" w:sz="4" w:space="0" w:color="auto"/>
              <w:right w:val="single" w:sz="4" w:space="0" w:color="auto"/>
            </w:tcBorders>
            <w:shd w:val="clear" w:color="000000" w:fill="FFC000"/>
            <w:noWrap/>
            <w:vAlign w:val="bottom"/>
            <w:hideMark/>
          </w:tcPr>
          <w:p w14:paraId="1F44504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4" w:space="0" w:color="auto"/>
              <w:right w:val="single" w:sz="4" w:space="0" w:color="auto"/>
            </w:tcBorders>
            <w:shd w:val="clear" w:color="000000" w:fill="FFC000"/>
            <w:noWrap/>
            <w:vAlign w:val="bottom"/>
            <w:hideMark/>
          </w:tcPr>
          <w:p w14:paraId="1AC9462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-67.4</w:t>
            </w:r>
          </w:p>
        </w:tc>
        <w:tc>
          <w:tcPr>
            <w:tcW w:w="932" w:type="dxa"/>
            <w:tcBorders>
              <w:top w:val="nil"/>
              <w:left w:val="nil"/>
              <w:bottom w:val="single" w:sz="4" w:space="0" w:color="auto"/>
              <w:right w:val="single" w:sz="4" w:space="0" w:color="auto"/>
            </w:tcBorders>
            <w:shd w:val="clear" w:color="000000" w:fill="FFC000"/>
            <w:noWrap/>
            <w:vAlign w:val="bottom"/>
            <w:hideMark/>
          </w:tcPr>
          <w:p w14:paraId="369632F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4" w:space="0" w:color="auto"/>
              <w:right w:val="single" w:sz="8" w:space="0" w:color="auto"/>
            </w:tcBorders>
            <w:shd w:val="clear" w:color="000000" w:fill="FFC000"/>
            <w:noWrap/>
            <w:vAlign w:val="bottom"/>
            <w:hideMark/>
          </w:tcPr>
          <w:p w14:paraId="3B2F23C6"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90.4</w:t>
            </w:r>
          </w:p>
        </w:tc>
      </w:tr>
      <w:tr w:rsidR="00A76035" w:rsidRPr="00A76035" w14:paraId="002DBC05" w14:textId="77777777" w:rsidTr="00647987">
        <w:trPr>
          <w:trHeight w:val="300"/>
          <w:jc w:val="center"/>
        </w:trPr>
        <w:tc>
          <w:tcPr>
            <w:tcW w:w="1423" w:type="dxa"/>
            <w:tcBorders>
              <w:top w:val="nil"/>
              <w:left w:val="single" w:sz="8" w:space="0" w:color="auto"/>
              <w:bottom w:val="single" w:sz="8" w:space="0" w:color="auto"/>
              <w:right w:val="single" w:sz="4" w:space="0" w:color="auto"/>
            </w:tcBorders>
            <w:shd w:val="clear" w:color="auto" w:fill="auto"/>
            <w:noWrap/>
            <w:vAlign w:val="bottom"/>
            <w:hideMark/>
          </w:tcPr>
          <w:p w14:paraId="29C433CB"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23</w:t>
            </w:r>
          </w:p>
        </w:tc>
        <w:tc>
          <w:tcPr>
            <w:tcW w:w="1434" w:type="dxa"/>
            <w:tcBorders>
              <w:top w:val="nil"/>
              <w:left w:val="nil"/>
              <w:bottom w:val="single" w:sz="8" w:space="0" w:color="auto"/>
              <w:right w:val="single" w:sz="4" w:space="0" w:color="auto"/>
            </w:tcBorders>
            <w:shd w:val="clear" w:color="auto" w:fill="auto"/>
            <w:noWrap/>
            <w:vAlign w:val="bottom"/>
            <w:hideMark/>
          </w:tcPr>
          <w:p w14:paraId="6703C28B"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200</w:t>
            </w:r>
          </w:p>
        </w:tc>
        <w:tc>
          <w:tcPr>
            <w:tcW w:w="601" w:type="dxa"/>
            <w:tcBorders>
              <w:top w:val="nil"/>
              <w:left w:val="nil"/>
              <w:bottom w:val="single" w:sz="8" w:space="0" w:color="auto"/>
              <w:right w:val="single" w:sz="4" w:space="0" w:color="auto"/>
            </w:tcBorders>
            <w:shd w:val="clear" w:color="auto" w:fill="auto"/>
            <w:noWrap/>
            <w:vAlign w:val="bottom"/>
            <w:hideMark/>
          </w:tcPr>
          <w:p w14:paraId="164B397F"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13</w:t>
            </w:r>
          </w:p>
        </w:tc>
        <w:tc>
          <w:tcPr>
            <w:tcW w:w="1415" w:type="dxa"/>
            <w:tcBorders>
              <w:top w:val="nil"/>
              <w:left w:val="nil"/>
              <w:bottom w:val="single" w:sz="8" w:space="0" w:color="auto"/>
              <w:right w:val="single" w:sz="4" w:space="0" w:color="auto"/>
            </w:tcBorders>
            <w:shd w:val="clear" w:color="auto" w:fill="auto"/>
            <w:noWrap/>
            <w:vAlign w:val="bottom"/>
            <w:hideMark/>
          </w:tcPr>
          <w:p w14:paraId="5EE97F4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-78.0</w:t>
            </w:r>
          </w:p>
        </w:tc>
        <w:tc>
          <w:tcPr>
            <w:tcW w:w="1264" w:type="dxa"/>
            <w:tcBorders>
              <w:top w:val="nil"/>
              <w:left w:val="nil"/>
              <w:bottom w:val="single" w:sz="8" w:space="0" w:color="auto"/>
              <w:right w:val="single" w:sz="4" w:space="0" w:color="auto"/>
            </w:tcBorders>
            <w:shd w:val="clear" w:color="auto" w:fill="auto"/>
            <w:noWrap/>
            <w:vAlign w:val="bottom"/>
            <w:hideMark/>
          </w:tcPr>
          <w:p w14:paraId="3EC56F5C"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15</w:t>
            </w:r>
          </w:p>
        </w:tc>
        <w:tc>
          <w:tcPr>
            <w:tcW w:w="1212" w:type="dxa"/>
            <w:tcBorders>
              <w:top w:val="nil"/>
              <w:left w:val="nil"/>
              <w:bottom w:val="single" w:sz="8" w:space="0" w:color="auto"/>
              <w:right w:val="single" w:sz="4" w:space="0" w:color="auto"/>
            </w:tcBorders>
            <w:shd w:val="clear" w:color="auto" w:fill="auto"/>
            <w:noWrap/>
            <w:vAlign w:val="bottom"/>
            <w:hideMark/>
          </w:tcPr>
          <w:p w14:paraId="374DF3B7"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-63.0</w:t>
            </w:r>
          </w:p>
        </w:tc>
        <w:tc>
          <w:tcPr>
            <w:tcW w:w="932" w:type="dxa"/>
            <w:tcBorders>
              <w:top w:val="nil"/>
              <w:left w:val="nil"/>
              <w:bottom w:val="single" w:sz="8" w:space="0" w:color="auto"/>
              <w:right w:val="single" w:sz="4" w:space="0" w:color="auto"/>
            </w:tcBorders>
            <w:shd w:val="clear" w:color="auto" w:fill="auto"/>
            <w:noWrap/>
            <w:vAlign w:val="bottom"/>
            <w:hideMark/>
          </w:tcPr>
          <w:p w14:paraId="448B7E69"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1</w:t>
            </w:r>
          </w:p>
        </w:tc>
        <w:tc>
          <w:tcPr>
            <w:tcW w:w="1330" w:type="dxa"/>
            <w:tcBorders>
              <w:top w:val="nil"/>
              <w:left w:val="nil"/>
              <w:bottom w:val="single" w:sz="8" w:space="0" w:color="auto"/>
              <w:right w:val="single" w:sz="8" w:space="0" w:color="auto"/>
            </w:tcBorders>
            <w:shd w:val="clear" w:color="auto" w:fill="auto"/>
            <w:noWrap/>
            <w:vAlign w:val="bottom"/>
            <w:hideMark/>
          </w:tcPr>
          <w:p w14:paraId="367D4E33" w14:textId="77777777" w:rsidR="00A76035" w:rsidRPr="00A76035" w:rsidRDefault="00A76035" w:rsidP="00A76035">
            <w:pPr>
              <w:spacing w:after="0"/>
              <w:jc w:val="center"/>
              <w:rPr>
                <w:rFonts w:ascii="Calibri" w:hAnsi="Calibri"/>
                <w:color w:val="000000"/>
                <w:sz w:val="22"/>
                <w:szCs w:val="22"/>
                <w:lang w:val="en-US"/>
              </w:rPr>
            </w:pPr>
            <w:r w:rsidRPr="00A76035">
              <w:rPr>
                <w:rFonts w:ascii="Calibri" w:hAnsi="Calibri"/>
                <w:color w:val="000000"/>
                <w:sz w:val="22"/>
                <w:szCs w:val="22"/>
                <w:lang w:val="en-US"/>
              </w:rPr>
              <w:t>86.0</w:t>
            </w:r>
          </w:p>
        </w:tc>
      </w:tr>
    </w:tbl>
    <w:p w14:paraId="42AB4E4F" w14:textId="7E1CF5AD" w:rsidR="00A76035" w:rsidRPr="00A76035" w:rsidRDefault="00A76035" w:rsidP="00A76035">
      <w:r>
        <w:t xml:space="preserve"> </w:t>
      </w:r>
    </w:p>
    <w:p w14:paraId="695F8720" w14:textId="1458E296" w:rsidR="00A76035" w:rsidRDefault="00224EBE" w:rsidP="00A76035">
      <w:pPr>
        <w:keepNext/>
        <w:jc w:val="center"/>
      </w:pPr>
      <w:r w:rsidRPr="00224EBE">
        <w:rPr>
          <w:noProof/>
          <w:lang w:val="en-US"/>
        </w:rPr>
        <w:lastRenderedPageBreak/>
        <w:drawing>
          <wp:inline distT="0" distB="0" distL="0" distR="0" wp14:anchorId="45058ED8" wp14:editId="078BAC2D">
            <wp:extent cx="5121910" cy="3842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35D5EDDD" w14:textId="2A67C9F8" w:rsidR="00A76035" w:rsidRDefault="00A76035" w:rsidP="00A76035">
      <w:pPr>
        <w:pStyle w:val="Caption"/>
        <w:jc w:val="center"/>
      </w:pPr>
      <w:bookmarkStart w:id="9" w:name="_Ref463005823"/>
      <w:bookmarkStart w:id="10" w:name="_Ref463005819"/>
      <w:r>
        <w:t xml:space="preserve">Figure </w:t>
      </w:r>
      <w:r>
        <w:fldChar w:fldCharType="begin"/>
      </w:r>
      <w:r>
        <w:instrText xml:space="preserve"> SEQ Figure \* ARABIC </w:instrText>
      </w:r>
      <w:r>
        <w:fldChar w:fldCharType="separate"/>
      </w:r>
      <w:r>
        <w:rPr>
          <w:noProof/>
        </w:rPr>
        <w:t>6</w:t>
      </w:r>
      <w:r>
        <w:fldChar w:fldCharType="end"/>
      </w:r>
      <w:bookmarkEnd w:id="9"/>
      <w:r>
        <w:t xml:space="preserve">. </w:t>
      </w:r>
      <w:r w:rsidRPr="00A65080">
        <w:t xml:space="preserve">UL SINR distribution for </w:t>
      </w:r>
      <w:r>
        <w:t xml:space="preserve">UL allocation and </w:t>
      </w:r>
      <w:r w:rsidRPr="00A76035">
        <w:rPr>
          <w:i/>
        </w:rPr>
        <w:t>CL</w:t>
      </w:r>
      <w:r w:rsidRPr="00A76035">
        <w:rPr>
          <w:i/>
          <w:vertAlign w:val="subscript"/>
        </w:rPr>
        <w:t>xile</w:t>
      </w:r>
      <w:r w:rsidR="001E19D4">
        <w:rPr>
          <w:i/>
          <w:vertAlign w:val="subscript"/>
        </w:rPr>
        <w:t xml:space="preserve"> </w:t>
      </w:r>
      <w:r w:rsidR="001E19D4">
        <w:t>values</w:t>
      </w:r>
      <w:r w:rsidRPr="00A65080">
        <w:t>.</w:t>
      </w:r>
      <w:bookmarkEnd w:id="10"/>
    </w:p>
    <w:p w14:paraId="66EA275D" w14:textId="42FC5D31" w:rsidR="00A76035" w:rsidRDefault="002C2B68" w:rsidP="00A76035">
      <w:pPr>
        <w:keepNext/>
        <w:jc w:val="center"/>
      </w:pPr>
      <w:r w:rsidRPr="002C2B68">
        <w:rPr>
          <w:noProof/>
          <w:lang w:val="en-US"/>
        </w:rPr>
        <w:drawing>
          <wp:inline distT="0" distB="0" distL="0" distR="0" wp14:anchorId="6C302CAD" wp14:editId="3606EE9A">
            <wp:extent cx="5121910" cy="38423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0F9FC2B1" w14:textId="4898E28D" w:rsidR="00A76035" w:rsidRDefault="00A76035" w:rsidP="00A76035">
      <w:pPr>
        <w:pStyle w:val="Caption"/>
        <w:jc w:val="center"/>
      </w:pPr>
      <w:bookmarkStart w:id="11" w:name="_Ref463005825"/>
      <w:r>
        <w:t xml:space="preserve">Figure </w:t>
      </w:r>
      <w:r>
        <w:fldChar w:fldCharType="begin"/>
      </w:r>
      <w:r>
        <w:instrText xml:space="preserve"> SEQ Figure \* ARABIC </w:instrText>
      </w:r>
      <w:r>
        <w:fldChar w:fldCharType="separate"/>
      </w:r>
      <w:r>
        <w:rPr>
          <w:noProof/>
        </w:rPr>
        <w:t>7</w:t>
      </w:r>
      <w:r>
        <w:fldChar w:fldCharType="end"/>
      </w:r>
      <w:bookmarkEnd w:id="11"/>
      <w:r>
        <w:t>. UE Tx power</w:t>
      </w:r>
      <w:r w:rsidRPr="00A65080">
        <w:t xml:space="preserve"> distribution for </w:t>
      </w:r>
      <w:r>
        <w:t xml:space="preserve">UL allocation and </w:t>
      </w:r>
      <w:r w:rsidRPr="00A76035">
        <w:rPr>
          <w:i/>
        </w:rPr>
        <w:t>CL</w:t>
      </w:r>
      <w:r w:rsidRPr="00A76035">
        <w:rPr>
          <w:i/>
          <w:vertAlign w:val="subscript"/>
        </w:rPr>
        <w:t>xile</w:t>
      </w:r>
      <w:r w:rsidR="001E19D4" w:rsidRPr="001E19D4">
        <w:t xml:space="preserve"> </w:t>
      </w:r>
      <w:r w:rsidR="001E19D4">
        <w:t>values</w:t>
      </w:r>
      <w:r w:rsidRPr="00A65080">
        <w:t>.</w:t>
      </w:r>
    </w:p>
    <w:p w14:paraId="7B02A88C" w14:textId="5F2EF4CE" w:rsidR="00A76035" w:rsidRDefault="00DA408F" w:rsidP="00A76035">
      <w:pPr>
        <w:pStyle w:val="Heading2"/>
      </w:pPr>
      <w:r>
        <w:t>General o</w:t>
      </w:r>
      <w:r w:rsidR="00A76035">
        <w:t>bservations</w:t>
      </w:r>
    </w:p>
    <w:p w14:paraId="1BEAD1C6" w14:textId="3AD25055" w:rsidR="00D00987" w:rsidRDefault="00EB7547" w:rsidP="001E19D4">
      <w:pPr>
        <w:autoSpaceDE w:val="0"/>
        <w:autoSpaceDN w:val="0"/>
        <w:spacing w:before="40" w:after="40"/>
        <w:jc w:val="both"/>
        <w:rPr>
          <w:lang w:val="en-US"/>
        </w:rPr>
      </w:pPr>
      <w:r>
        <w:t>Based on the observation</w:t>
      </w:r>
      <w:r w:rsidR="00D00987">
        <w:t>s</w:t>
      </w:r>
      <w:r>
        <w:t xml:space="preserve"> provided in the previous sections, many elements need to be taken into account when determining </w:t>
      </w:r>
      <w:r w:rsidR="00D00987">
        <w:t xml:space="preserve">the UL power control parameters. In other words, several factors should be analysed when updating the </w:t>
      </w:r>
      <w:r w:rsidR="00D00987">
        <w:lastRenderedPageBreak/>
        <w:t>power control setting specified in TR 36.942. One obvious observation is that adopting 200MHz allocation for UL will bring very large noise level and low PSD. Determining the RF requirements in this scenario might not be an ideal choice, therefore the UL allocation to be adopted in the</w:t>
      </w:r>
      <w:r w:rsidR="009A2366">
        <w:t xml:space="preserve"> simulation should be discussed</w:t>
      </w:r>
      <w:r w:rsidR="00D00987">
        <w:t xml:space="preserve">. One factor to be taken into account would be the different amount of interference in case multiple UEs are simultaneously transmitting. In that case, ACLR would not be flat over the all channel BW, but have substantial decay after the UL transmit bandwidth (multiple steps ACLR would be needed). </w:t>
      </w:r>
      <w:r w:rsidR="00D8157D">
        <w:rPr>
          <w:color w:val="000000"/>
        </w:rPr>
        <w:t>RAN4 should discuss the most appropriate model considering also simulation complexity</w:t>
      </w:r>
      <w:r w:rsidR="001E19D4">
        <w:rPr>
          <w:color w:val="000000"/>
        </w:rPr>
        <w:t>.</w:t>
      </w:r>
    </w:p>
    <w:p w14:paraId="3160A572" w14:textId="77777777" w:rsidR="001E19D4" w:rsidRPr="001E19D4" w:rsidRDefault="001E19D4" w:rsidP="001E19D4">
      <w:pPr>
        <w:autoSpaceDE w:val="0"/>
        <w:autoSpaceDN w:val="0"/>
        <w:spacing w:before="40" w:after="40"/>
        <w:jc w:val="both"/>
        <w:rPr>
          <w:lang w:val="en-US"/>
        </w:rPr>
      </w:pPr>
    </w:p>
    <w:p w14:paraId="73FC8CA1" w14:textId="7B8AD4D6" w:rsidR="00A76035" w:rsidRPr="00A76035" w:rsidRDefault="00D00987" w:rsidP="00EB7547">
      <w:pPr>
        <w:jc w:val="both"/>
      </w:pPr>
      <w:r>
        <w:t xml:space="preserve">We kindly ask RAN4 to take into account these considerations when discussing UL simulation scenarios. </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2C94B391" w14:textId="3C18D437" w:rsidR="000364DC" w:rsidRDefault="00407D2B" w:rsidP="007E521D">
      <w:pPr>
        <w:jc w:val="both"/>
      </w:pPr>
      <w:r>
        <w:t>In</w:t>
      </w:r>
      <w:r w:rsidR="009A2366">
        <w:t xml:space="preserve"> this contribution we address</w:t>
      </w:r>
      <w:r w:rsidR="00C5232C">
        <w:t>ed</w:t>
      </w:r>
      <w:r w:rsidR="009A2366">
        <w:t xml:space="preserve"> some</w:t>
      </w:r>
      <w:r w:rsidR="00D8157D">
        <w:t xml:space="preserve"> key elements of</w:t>
      </w:r>
      <w:r w:rsidR="009A2366">
        <w:t xml:space="preserve"> the UL simulation for</w:t>
      </w:r>
      <w:r w:rsidR="00D8157D">
        <w:t xml:space="preserve"> the </w:t>
      </w:r>
      <w:r w:rsidR="009A2366">
        <w:t>NR</w:t>
      </w:r>
      <w:r w:rsidR="00D8157D">
        <w:t xml:space="preserve"> adjacent channel coexistence study. In particular we focus on the UL power control setting which should be used in </w:t>
      </w:r>
      <w:r w:rsidR="00C5232C">
        <w:t xml:space="preserve">the </w:t>
      </w:r>
      <w:r w:rsidR="00D8157D">
        <w:t>study. Since the power control behaviour is a critical part in determining the overall system performance, we kindly invite RAN4 to take into account the observations made in this paper.</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304EC7A3" w14:textId="51EC074A" w:rsidR="00A90FF2" w:rsidRPr="00A90FF2" w:rsidRDefault="00A90FF2" w:rsidP="00A90FF2">
      <w:pPr>
        <w:pStyle w:val="ListParagraph"/>
        <w:numPr>
          <w:ilvl w:val="0"/>
          <w:numId w:val="2"/>
        </w:numPr>
        <w:rPr>
          <w:lang w:val="en-US"/>
        </w:rPr>
      </w:pPr>
      <w:bookmarkStart w:id="12" w:name="_Ref462992094"/>
      <w:bookmarkStart w:id="13" w:name="_Ref462994467"/>
      <w:bookmarkStart w:id="14" w:name="_Ref447207862"/>
      <w:bookmarkStart w:id="15" w:name="_Ref442191279"/>
      <w:bookmarkStart w:id="16" w:name="_Ref447031905"/>
      <w:bookmarkStart w:id="17" w:name="_Ref419388595"/>
      <w:bookmarkStart w:id="18" w:name="_Ref419289036"/>
      <w:bookmarkStart w:id="19" w:name="_Ref450558964"/>
      <w:r>
        <w:rPr>
          <w:lang w:val="en-US"/>
        </w:rPr>
        <w:t>R4-167079,</w:t>
      </w:r>
      <w:r w:rsidRPr="00A90FF2">
        <w:rPr>
          <w:lang w:val="en-US"/>
        </w:rPr>
        <w:t xml:space="preserve"> </w:t>
      </w:r>
      <w:r>
        <w:rPr>
          <w:lang w:val="en-US"/>
        </w:rPr>
        <w:t>“</w:t>
      </w:r>
      <w:r w:rsidRPr="00A90FF2">
        <w:rPr>
          <w:lang w:val="en-US"/>
        </w:rPr>
        <w:t>WF on Simulation assumptions of Co-existence study for WP5D</w:t>
      </w:r>
      <w:r>
        <w:rPr>
          <w:lang w:val="en-US"/>
        </w:rPr>
        <w:t>”,</w:t>
      </w:r>
      <w:bookmarkEnd w:id="12"/>
      <w:r w:rsidRPr="00A90FF2">
        <w:rPr>
          <w:lang w:val="en-US"/>
        </w:rPr>
        <w:t xml:space="preserve"> </w:t>
      </w:r>
      <w:r>
        <w:rPr>
          <w:lang w:val="en-US"/>
        </w:rPr>
        <w:t>NTT DOCOMO</w:t>
      </w:r>
      <w:r w:rsidRPr="00A90FF2">
        <w:rPr>
          <w:lang w:val="en-US"/>
        </w:rPr>
        <w:t xml:space="preserve"> INC.</w:t>
      </w:r>
      <w:bookmarkEnd w:id="13"/>
    </w:p>
    <w:p w14:paraId="160E016C" w14:textId="3E58ED96" w:rsidR="00A90FF2" w:rsidRDefault="00A90FF2" w:rsidP="00A90FF2">
      <w:pPr>
        <w:pStyle w:val="ListParagraph"/>
        <w:numPr>
          <w:ilvl w:val="0"/>
          <w:numId w:val="2"/>
        </w:numPr>
        <w:rPr>
          <w:lang w:val="en-US"/>
        </w:rPr>
      </w:pPr>
      <w:bookmarkStart w:id="20" w:name="_Ref462992269"/>
      <w:r>
        <w:rPr>
          <w:lang w:val="en-US"/>
        </w:rPr>
        <w:t>R4-167124, “</w:t>
      </w:r>
      <w:r w:rsidRPr="00A90FF2">
        <w:rPr>
          <w:lang w:val="en-US"/>
        </w:rPr>
        <w:t>WF on UL TPC model and Throughput model for coexistence study for WP 5D</w:t>
      </w:r>
      <w:r>
        <w:rPr>
          <w:lang w:val="en-US"/>
        </w:rPr>
        <w:t xml:space="preserve">”, NTT DOCOMO </w:t>
      </w:r>
      <w:r w:rsidRPr="00A90FF2">
        <w:rPr>
          <w:lang w:val="en-US"/>
        </w:rPr>
        <w:t>INC.</w:t>
      </w:r>
      <w:bookmarkEnd w:id="20"/>
    </w:p>
    <w:p w14:paraId="0EED05DE" w14:textId="37A4098D" w:rsidR="00A90FF2" w:rsidRDefault="00A90FF2" w:rsidP="00D00987">
      <w:pPr>
        <w:pStyle w:val="ListParagraph"/>
        <w:numPr>
          <w:ilvl w:val="0"/>
          <w:numId w:val="2"/>
        </w:numPr>
        <w:rPr>
          <w:lang w:val="en-US"/>
        </w:rPr>
      </w:pPr>
      <w:bookmarkStart w:id="21" w:name="_Ref462993652"/>
      <w:r w:rsidRPr="00FE690E">
        <w:rPr>
          <w:lang w:val="en-US"/>
        </w:rPr>
        <w:t xml:space="preserve">TR 36.942, </w:t>
      </w:r>
      <w:r w:rsidR="00FE690E" w:rsidRPr="00FE690E">
        <w:rPr>
          <w:lang w:val="en-US"/>
        </w:rPr>
        <w:t>“3rd Generation Partnership Project; Technical Specification Group Radio Access Network; Evolved Universal Terrestrial Radio Access (E-UTRA);</w:t>
      </w:r>
      <w:r w:rsidR="00FE690E">
        <w:rPr>
          <w:lang w:val="en-US"/>
        </w:rPr>
        <w:t xml:space="preserve"> </w:t>
      </w:r>
      <w:r w:rsidR="00FE690E" w:rsidRPr="00FE690E">
        <w:rPr>
          <w:lang w:val="en-US"/>
        </w:rPr>
        <w:t>Radio Frequency (RF) system scenarios</w:t>
      </w:r>
      <w:r w:rsidR="00FE690E">
        <w:rPr>
          <w:lang w:val="en-US"/>
        </w:rPr>
        <w:t>”</w:t>
      </w:r>
      <w:bookmarkEnd w:id="21"/>
      <w:r w:rsidR="00FE690E">
        <w:rPr>
          <w:lang w:val="en-US"/>
        </w:rPr>
        <w:t>.</w:t>
      </w:r>
    </w:p>
    <w:p w14:paraId="0789418A" w14:textId="522E2FF4" w:rsidR="00FE690E" w:rsidRPr="00FE690E" w:rsidRDefault="00FE690E" w:rsidP="00D00987">
      <w:pPr>
        <w:pStyle w:val="ListParagraph"/>
        <w:numPr>
          <w:ilvl w:val="0"/>
          <w:numId w:val="2"/>
        </w:numPr>
        <w:rPr>
          <w:lang w:val="en-US"/>
        </w:rPr>
      </w:pPr>
      <w:bookmarkStart w:id="22" w:name="_Ref462994805"/>
      <w:r w:rsidRPr="00263031">
        <w:t>R4-167123</w:t>
      </w:r>
      <w:r>
        <w:t>, “</w:t>
      </w:r>
      <w:r w:rsidRPr="00263031">
        <w:t>WF on UE Beamforming Model for the ITU WP5D coexistence simulations</w:t>
      </w:r>
      <w:r>
        <w:t>”, Qualcomm Incorporated.</w:t>
      </w:r>
      <w:bookmarkEnd w:id="22"/>
    </w:p>
    <w:p w14:paraId="04C65D21" w14:textId="385A94EB" w:rsidR="003D395F" w:rsidRPr="00D8157D" w:rsidRDefault="00FE690E" w:rsidP="00D8157D">
      <w:pPr>
        <w:pStyle w:val="ListParagraph"/>
        <w:numPr>
          <w:ilvl w:val="0"/>
          <w:numId w:val="2"/>
        </w:numPr>
        <w:rPr>
          <w:lang w:val="en-US"/>
        </w:rPr>
      </w:pPr>
      <w:bookmarkStart w:id="23" w:name="_Ref462994820"/>
      <w:r>
        <w:rPr>
          <w:lang w:val="en-US"/>
        </w:rPr>
        <w:t>R4-167127,</w:t>
      </w:r>
      <w:r w:rsidRPr="00FE690E">
        <w:rPr>
          <w:lang w:val="en-US"/>
        </w:rPr>
        <w:t xml:space="preserve"> </w:t>
      </w:r>
      <w:r>
        <w:rPr>
          <w:lang w:val="en-US"/>
        </w:rPr>
        <w:t>“</w:t>
      </w:r>
      <w:r w:rsidRPr="00FE690E">
        <w:rPr>
          <w:lang w:val="en-US"/>
        </w:rPr>
        <w:t>Way forward on BS Beamforming Model for the ITU WP5D coexistence simulations</w:t>
      </w:r>
      <w:r>
        <w:rPr>
          <w:lang w:val="en-US"/>
        </w:rPr>
        <w:t>”, Huawei, HiSilicon.</w:t>
      </w:r>
      <w:bookmarkEnd w:id="14"/>
      <w:bookmarkEnd w:id="15"/>
      <w:bookmarkEnd w:id="16"/>
      <w:bookmarkEnd w:id="17"/>
      <w:bookmarkEnd w:id="18"/>
      <w:bookmarkEnd w:id="19"/>
      <w:bookmarkEnd w:id="23"/>
    </w:p>
    <w:sectPr w:rsidR="003D395F" w:rsidRPr="00D8157D"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42D30" w14:textId="77777777" w:rsidR="00623A87" w:rsidRDefault="00623A87">
      <w:r>
        <w:separator/>
      </w:r>
    </w:p>
  </w:endnote>
  <w:endnote w:type="continuationSeparator" w:id="0">
    <w:p w14:paraId="088D9BB8" w14:textId="77777777" w:rsidR="00623A87" w:rsidRDefault="00623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4164">
      <w:rPr>
        <w:rStyle w:val="PageNumber"/>
      </w:rPr>
      <w:t>3</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1B6E9" w14:textId="77777777" w:rsidR="00623A87" w:rsidRDefault="00623A87">
      <w:r>
        <w:separator/>
      </w:r>
    </w:p>
  </w:footnote>
  <w:footnote w:type="continuationSeparator" w:id="0">
    <w:p w14:paraId="5F8FBAA8" w14:textId="77777777" w:rsidR="00623A87" w:rsidRDefault="00623A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5"/>
  </w:num>
  <w:num w:numId="3">
    <w:abstractNumId w:val="38"/>
  </w:num>
  <w:num w:numId="4">
    <w:abstractNumId w:val="40"/>
  </w:num>
  <w:num w:numId="5">
    <w:abstractNumId w:val="32"/>
  </w:num>
  <w:num w:numId="6">
    <w:abstractNumId w:val="19"/>
  </w:num>
  <w:num w:numId="7">
    <w:abstractNumId w:val="8"/>
  </w:num>
  <w:num w:numId="8">
    <w:abstractNumId w:val="37"/>
  </w:num>
  <w:num w:numId="9">
    <w:abstractNumId w:val="20"/>
  </w:num>
  <w:num w:numId="10">
    <w:abstractNumId w:val="29"/>
  </w:num>
  <w:num w:numId="11">
    <w:abstractNumId w:val="41"/>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1"/>
  </w:num>
  <w:num w:numId="19">
    <w:abstractNumId w:val="28"/>
  </w:num>
  <w:num w:numId="20">
    <w:abstractNumId w:val="9"/>
  </w:num>
  <w:num w:numId="21">
    <w:abstractNumId w:val="4"/>
  </w:num>
  <w:num w:numId="22">
    <w:abstractNumId w:val="16"/>
  </w:num>
  <w:num w:numId="23">
    <w:abstractNumId w:val="33"/>
  </w:num>
  <w:num w:numId="24">
    <w:abstractNumId w:val="24"/>
  </w:num>
  <w:num w:numId="25">
    <w:abstractNumId w:val="36"/>
  </w:num>
  <w:num w:numId="26">
    <w:abstractNumId w:val="10"/>
  </w:num>
  <w:num w:numId="27">
    <w:abstractNumId w:val="23"/>
  </w:num>
  <w:num w:numId="28">
    <w:abstractNumId w:val="27"/>
  </w:num>
  <w:num w:numId="29">
    <w:abstractNumId w:val="15"/>
  </w:num>
  <w:num w:numId="30">
    <w:abstractNumId w:val="18"/>
  </w:num>
  <w:num w:numId="31">
    <w:abstractNumId w:val="26"/>
  </w:num>
  <w:num w:numId="32">
    <w:abstractNumId w:val="7"/>
  </w:num>
  <w:num w:numId="33">
    <w:abstractNumId w:val="17"/>
  </w:num>
  <w:num w:numId="34">
    <w:abstractNumId w:val="2"/>
  </w:num>
  <w:num w:numId="35">
    <w:abstractNumId w:val="26"/>
  </w:num>
  <w:num w:numId="36">
    <w:abstractNumId w:val="25"/>
  </w:num>
  <w:num w:numId="37">
    <w:abstractNumId w:val="31"/>
  </w:num>
  <w:num w:numId="38">
    <w:abstractNumId w:val="34"/>
  </w:num>
  <w:num w:numId="39">
    <w:abstractNumId w:val="30"/>
  </w:num>
  <w:num w:numId="40">
    <w:abstractNumId w:val="1"/>
  </w:num>
  <w:num w:numId="41">
    <w:abstractNumId w:val="6"/>
  </w:num>
  <w:num w:numId="42">
    <w:abstractNumId w:val="13"/>
  </w:num>
  <w:num w:numId="43">
    <w:abstractNumId w:val="39"/>
  </w:num>
  <w:num w:numId="44">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51F"/>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9D4"/>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4EBE"/>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2B68"/>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1F"/>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0C37"/>
    <w:rsid w:val="005816AC"/>
    <w:rsid w:val="0058268D"/>
    <w:rsid w:val="00582A1A"/>
    <w:rsid w:val="0058368D"/>
    <w:rsid w:val="00583984"/>
    <w:rsid w:val="00583FF2"/>
    <w:rsid w:val="00585287"/>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A87"/>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12A2"/>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21D"/>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2FB"/>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0FF2"/>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72F"/>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5B8F"/>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2C"/>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164"/>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432"/>
    <w:rsid w:val="00CE2B85"/>
    <w:rsid w:val="00CE2CEF"/>
    <w:rsid w:val="00CE3AA7"/>
    <w:rsid w:val="00CE50BD"/>
    <w:rsid w:val="00CE59DF"/>
    <w:rsid w:val="00CE6105"/>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28A3"/>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3C65C3A4-C672-4B82-900D-EA802D67C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1492</Words>
  <Characters>8507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9980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2</cp:revision>
  <cp:lastPrinted>2016-08-10T18:08:00Z</cp:lastPrinted>
  <dcterms:created xsi:type="dcterms:W3CDTF">2016-10-11T10:20:00Z</dcterms:created>
  <dcterms:modified xsi:type="dcterms:W3CDTF">2016-10-11T10:20:00Z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